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Public-Building Vending Accessibility Verification Checklist</w:t>
      </w:r>
    </w:p>
    <w:p>
      <w:pPr>
        <w:spacing w:after="200"/>
      </w:pPr>
      <w:r>
        <w:rPr>
          <w:i/>
          <w:iCs/>
          <w:color w:val="6B7280"/>
        </w:rPr>
        <w:t xml:space="preserve">ADA Title II/III + 2010 ADA Standards Section 308/309 + VPAT 2.5 + annual audit</w:t>
      </w:r>
    </w:p>
    <w:p>
      <w:pPr>
        <w:spacing w:after="300"/>
      </w:pPr>
      <w:r>
        <w:t xml:space="preserve">Public-building vending placements must satisfy 2010 ADA Standards for Accessible Design (Sections 305, 308, 309, 703) plus state-specific overlays (e.g., California Title 24, Texas TAS, Massachusetts 521 CMR). This checklist covers install verification, digital accessibility (Section 508 / WCAG 2.1 AA), and annual recertification. Operator should attest in writing and provide measurement documentation, VPAT 2.5, and a written remediation plan for any non-conforming items.</w:t>
      </w:r>
    </w:p>
    <w:p>
      <w:pPr>
        <w:pStyle w:val="Heading1"/>
        <w:spacing w:after="150" w:before="300"/>
      </w:pPr>
      <w:r>
        <w:t xml:space="preserve">1. Reach range verification — 2010 ADA Standards Section 308</w:t>
      </w:r>
    </w:p>
    <w:p>
      <w:pPr>
        <w:spacing w:after="200"/>
      </w:pPr>
      <w:r>
        <w:t xml:space="preserve">Reach range applies to every operable part: selection buttons, card reader, contactless tap zone, PIN pad, dispense flap, change-return lever, refund button. Measure with a calibrated tape and record to the procurement file.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Unobstructed forward reach: highest operable part ≤ 48 in AFF and lowest operable part ≥ 15 in AFF (308.2.1).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Obstructed forward reach: if obstruction depth ≤ 20 in, max reach 48 in; if 20-25 in, max reach 44 in (308.2.2).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Unobstructed side reach: highest operable part ≤ 48 in AFF, lowest ≥ 15 in AFF (308.3.1).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Obstructed side reach: if obstruction ≤ 10 in deep, max reach 48 in; if 10-24 in, max reach 46 in (308.3.2).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Card reader + contactless tap zone + mobile-wallet target each independently meet reach range.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Dispense bin opening within reach range and not below 15 in AFF.</w:t>
      </w:r>
    </w:p>
    <w:p>
      <w:pPr>
        <w:pStyle w:val="Heading1"/>
        <w:spacing w:after="150" w:before="300"/>
      </w:pPr>
      <w:r>
        <w:t xml:space="preserve">2. Clear floor space + approach — Section 305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30 in × 48 in minimum clear floor space at each machine face for forward or parallel approach (305.3).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Clear space free of permanent obstructions (trash cans, A-frame signage, queue stanchions).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Knee + toe clearance under any machine overhang per 306 where forward approach is used.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Floor surface stable, firm, slip-resistant (302.1); carpet pile ≤ 1/2 in with secured edges (302.2).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Accessible route to machine ≥ 36 in wide (404 / 403.5.1) with no abrupt level change &gt; 1/4 in (303).</w:t>
      </w:r>
    </w:p>
    <w:p>
      <w:pPr>
        <w:pStyle w:val="Heading1"/>
        <w:spacing w:after="150" w:before="300"/>
      </w:pPr>
      <w:r>
        <w:t xml:space="preserve">3. Operating force + dexterity — Section 309.4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All operable parts operable with one hand and require ≤ 5 lbf to operate (309.4).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No tight grasping, pinching, or twisting of the wrist required (recessed paddles vs round knobs).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Selection buttons distinguishable by touch where the interface is visual-only (raised, recessed, or tactile).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Coin/bill slot openings ≥ 1.25 in to accommodate limited dexterity.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Refund / change-return mechanism operable without bending below 15 in AFF or reaching above 48 in.</w:t>
      </w:r>
    </w:p>
    <w:p>
      <w:pPr>
        <w:pStyle w:val="Heading1"/>
        <w:spacing w:after="150" w:before="300"/>
      </w:pPr>
      <w:r>
        <w:t xml:space="preserve">4. Digital interface + Section 508 + WCAG 2.1 AA</w:t>
      </w:r>
    </w:p>
    <w:p>
      <w:pPr>
        <w:spacing w:after="200"/>
      </w:pPr>
      <w:r>
        <w:t xml:space="preserve">Federal placements (GSA, VA, DoD, Smithsonian, federal courthouses) must conform to Section 508 Revised standards (36 CFR Part 1194) — which incorporates WCAG 2.1 Level A and AA. State agencies often adopt equivalent standards (e.g., California Gov Code 7405).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provides VPAT 2.5 (Voluntary Product Accessibility Template) covering kiosk firmware, payment terminal, and mobile app.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Touchscreen interfaces support audio output via headphone jack (508 / WCAG 1.1.1 + 1.4.4).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Text contrast ratio ≥ 4.5:1 for normal text, ≥ 3:1 for large text (WCAG 1.4.3).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Mobile app and refund portal conform to WCAG 2.1 AA; operator provides accessibility statement URL.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Card reader supports speech output (e.g., Verifone or Ingenico models with headphone jack) at federal placements.</w:t>
      </w:r>
    </w:p>
    <w:p>
      <w:pPr>
        <w:pStyle w:val="Heading1"/>
        <w:spacing w:after="150" w:before="300"/>
      </w:pPr>
      <w:r>
        <w:t xml:space="preserve">5. Signage, labeling, allergen disclosure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Product labels visible from clear floor space without glare; LED lighting ≥ 200 lux on selection face.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Allergen labeling per FALCPA (21 U.S.C. 343) on each SKU; allergen summary on machine face.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Pricing display characters ≥ 5/8 in with ≥ 70% contrast ratio (Section 703.2).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Tactile braille pricing labels at federal placements and where state code requires (e.g., 521 CMR 41.0).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Nutrition disclosure compliant with FDA calorie-labeling rule (21 CFR 101.8) for chains with 20+ machines.</w:t>
      </w:r>
    </w:p>
    <w:p>
      <w:pPr>
        <w:pStyle w:val="Heading1"/>
        <w:spacing w:after="150" w:before="300"/>
      </w:pPr>
      <w:r>
        <w:t xml:space="preserve">6. Verification documentation + annual recertification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written ADA attestation signed at install and at each annual recertification.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Photo + measurement log retained in procurement file (calibrated tape, measurements to 1/4 in).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VPAT 2.5 dated within 12 months and on file.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Site visit verification scheduled annually; non-conformance triggers 30-day remediation plan.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Facility accessibility coordinator + ADA coordinator (per 28 CFR 35.107 for Title II entities) copied on attestation.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Procurement file retains documentation for contract term plus 5 years (or per agency record retention).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Tenant / public complaint procedure published; complaints logged + responded to within 15 business days.</w:t>
      </w:r>
    </w:p>
    <w:p>
      <w:pPr>
        <w:spacing w:before="400"/>
      </w:pPr>
      <w:r>
        <w:rPr>
          <w:i/>
          <w:iCs/>
          <w:color w:val="6B7280"/>
        </w:rPr>
        <w:t xml:space="preserve">Informational only — not legal advice. Verify federal placement requirements with the facility ADA coordinator and the contracting officer; state and local jurisdictions may add requirements above the federal floor. LetUsVending is equipped to coordinate operator selection and verification documentation for public-building placements.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Public-Building Vending Accessibility Verification Checklist</dc:title>
  <dc:creator>LetUsVending</dc:creator>
  <dc:description>ADA Title II/III + 2010 ADA Standards Section 308/309 + VPAT 2.5 + annual audit</dc:description>
  <cp:lastModifiedBy>Un-named</cp:lastModifiedBy>
  <cp:revision>1</cp:revision>
  <dcterms:created xsi:type="dcterms:W3CDTF">2026-05-17T13:17:58.852Z</dcterms:created>
  <dcterms:modified xsi:type="dcterms:W3CDTF">2026-05-17T13:17:58.853Z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