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Amusement Park Vending Framework</w:t>
      </w:r>
    </w:p>
    <w:p>
      <w:pPr>
        <w:spacing w:after="200"/>
      </w:pPr>
      <w:r>
        <w:rPr>
          <w:i/>
          <w:iCs/>
          <w:color w:val="6B7280"/>
        </w:rPr>
        <w:t xml:space="preserve">Zone-by-zone SKU planograms, weather-sealing specification, hurricane protocol, and operator RFP template</w:t>
      </w:r>
    </w:p>
    <w:p>
      <w:pPr>
        <w:spacing w:after="300"/>
      </w:pPr>
      <w:r>
        <w:t xml:space="preserve">Amusement-park vending operates at high seasonal intensity, in weather-exposed zones, under IAAPA safety + accessibility expectations, and inside a guest-experience scoring framework that affects season-pass renewal + brand loyalty. Major park operators (Six Flags Entertainment, Cedar Fair, SeaWorld Parks, Disney Parks, Universal Parks, Herschend Family Entertainment) issue vending RFPs with explicit zone-by-zone planogram, weather-sealing, and hurricane-protocol requirements. This framework gives the park operations director + concessions program manager the zone-by-zone planogram, equipment weather-sealing spec, hurricane preparedness protocol, and operator RFP template.</w:t>
      </w:r>
    </w:p>
    <w:p>
      <w:pPr>
        <w:pStyle w:val="Heading1"/>
        <w:spacing w:after="150" w:before="300"/>
      </w:pPr>
      <w:r>
        <w:t xml:space="preserve">1. Zone-by-zone planogram — seven typical zones</w:t>
      </w:r>
    </w:p>
    <w:p>
      <w:pPr>
        <w:spacing w:after="200"/>
      </w:pPr>
      <w:r>
        <w:t xml:space="preserve">Park guest behavior varies dramatically by zone. Park-wide single planograms underperform zone-tuned planograms by 30-50% in per-machine revenue and miss accessibility + family-friendly accommodation in specific zones.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Guest profile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Top planogram tilt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Equipment type</w:t>
            </w:r>
          </w:p>
        </w:tc>
      </w:tr>
      <w:tr>
        <w:tc>
          <w:p>
            <w:r>
              <w:t xml:space="preserve">Entry plaza / front gate</w:t>
            </w:r>
          </w:p>
        </w:tc>
        <w:tc>
          <w:p>
            <w:r>
              <w:t xml:space="preserve">All-guest arrival; hydration + sunscreen + souvenirs</w:t>
            </w:r>
          </w:p>
        </w:tc>
        <w:tc>
          <w:p>
            <w:r>
              <w:t xml:space="preserve">Bottled water 60-70%; electrolyte drinks; healthy snacks</w:t>
            </w:r>
          </w:p>
        </w:tc>
        <w:tc>
          <w:p>
            <w:r>
              <w:t xml:space="preserve">Refrigerated combo + AI cooler, weather-sealed</w:t>
            </w:r>
          </w:p>
        </w:tc>
      </w:tr>
      <w:tr>
        <w:tc>
          <w:p>
            <w:r>
              <w:t xml:space="preserve">Coaster + thrill zone</w:t>
            </w:r>
          </w:p>
        </w:tc>
        <w:tc>
          <w:p>
            <w:r>
              <w:t xml:space="preserve">Adult + teen; high adrenaline; meal-light</w:t>
            </w:r>
          </w:p>
        </w:tc>
        <w:tc>
          <w:p>
            <w:r>
              <w:t xml:space="preserve">Sports drinks + caffeinated soda + handheld snacks (no full-meal SKUs)</w:t>
            </w:r>
          </w:p>
        </w:tc>
        <w:tc>
          <w:p>
            <w:r>
              <w:t xml:space="preserve">Cold beverage + snack combo</w:t>
            </w:r>
          </w:p>
        </w:tc>
      </w:tr>
      <w:tr>
        <w:tc>
          <w:p>
            <w:r>
              <w:t xml:space="preserve">Family zone / kiddie area</w:t>
            </w:r>
          </w:p>
        </w:tc>
        <w:tc>
          <w:p>
            <w:r>
              <w:t xml:space="preserve">Family with young children; meals + comfort foods</w:t>
            </w:r>
          </w:p>
        </w:tc>
        <w:tc>
          <w:p>
            <w:r>
              <w:t xml:space="preserve">Juice boxes + animal crackers + fruit snacks + applesauce pouches; allergen-clear labeling</w:t>
            </w:r>
          </w:p>
        </w:tc>
        <w:tc>
          <w:p>
            <w:r>
              <w:t xml:space="preserve">Snack-heavy + cold beverage; lower reach height</w:t>
            </w:r>
          </w:p>
        </w:tc>
      </w:tr>
      <w:tr>
        <w:tc>
          <w:p>
            <w:r>
              <w:t xml:space="preserve">Water park / splash zone</w:t>
            </w:r>
          </w:p>
        </w:tc>
        <w:tc>
          <w:p>
            <w:r>
              <w:t xml:space="preserve">All guests in swimwear; cash often absent; impulse</w:t>
            </w:r>
          </w:p>
        </w:tc>
        <w:tc>
          <w:p>
            <w:r>
              <w:t xml:space="preserve">Bottled water + sports drinks + ice cream + frozen treats</w:t>
            </w:r>
          </w:p>
        </w:tc>
        <w:tc>
          <w:p>
            <w:r>
              <w:t xml:space="preserve">Refrigerated + IM-style + waterproof IP-rated cabinet</w:t>
            </w:r>
          </w:p>
        </w:tc>
      </w:tr>
      <w:tr>
        <w:tc>
          <w:p>
            <w:r>
              <w:t xml:space="preserve">Show + venue zone</w:t>
            </w:r>
          </w:p>
        </w:tc>
        <w:tc>
          <w:p>
            <w:r>
              <w:t xml:space="preserve">Seated guests in queue; impulse during pre-show wait</w:t>
            </w:r>
          </w:p>
        </w:tc>
        <w:tc>
          <w:p>
            <w:r>
              <w:t xml:space="preserve">Bottled water + soda + popcorn + candy</w:t>
            </w:r>
          </w:p>
        </w:tc>
        <w:tc>
          <w:p>
            <w:r>
              <w:t xml:space="preserve">Standard combo; consider AI cooler for premium SKU</w:t>
            </w:r>
          </w:p>
        </w:tc>
      </w:tr>
      <w:tr>
        <w:tc>
          <w:p>
            <w:r>
              <w:t xml:space="preserve">Back-of-house / employee</w:t>
            </w:r>
          </w:p>
        </w:tc>
        <w:tc>
          <w:p>
            <w:r>
              <w:t xml:space="preserve">Three-shift park employees; subsidized program</w:t>
            </w:r>
          </w:p>
        </w:tc>
        <w:tc>
          <w:p>
            <w:r>
              <w:t xml:space="preserve">Subsidized snack + beverage + hot beverage option</w:t>
            </w:r>
          </w:p>
        </w:tc>
        <w:tc>
          <w:p>
            <w:r>
              <w:t xml:space="preserve">Standard combo with operator subsidy mechanism</w:t>
            </w:r>
          </w:p>
        </w:tc>
      </w:tr>
      <w:tr>
        <w:tc>
          <w:p>
            <w:r>
              <w:t xml:space="preserve">Hotel + lodging on-park (where applicable)</w:t>
            </w:r>
          </w:p>
        </w:tc>
        <w:tc>
          <w:p>
            <w:r>
              <w:t xml:space="preserve">Overnight guests; 24/7 access</w:t>
            </w:r>
          </w:p>
        </w:tc>
        <w:tc>
          <w:p>
            <w:r>
              <w:t xml:space="preserve">Combo + AI cooler with breakfast + late-night options</w:t>
            </w:r>
          </w:p>
        </w:tc>
        <w:tc>
          <w:p>
            <w:r>
              <w:t xml:space="preserve">Standard hotel-style combo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Weather-sealing specification</w:t>
      </w:r>
    </w:p>
    <w:p>
      <w:pPr>
        <w:spacing w:after="200"/>
      </w:pPr>
      <w:r>
        <w:t xml:space="preserve">Park environments expose equipment to direct sun, summer humidity, winter cold, water-park spray, salt air (coastal parks), and seasonal winterization. Standard indoor equipment fails within 18-24 months. Specify weather-sealing explicitly.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NEMA 4 or NEMA 4X enclosure rating for outdoor equipment (NEMA 4X required for water-park + coastal zones)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Stainless steel exterior (not laminate or vinyl wrap); UV-stable powder coat acceptable for inland non-water zones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Refrigerated devices with sealed condensate; ENERGY STAR certified; AIM Act-compliant refrigerant; ambient operating range -10°F to 110°F documented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Shade canopy or pergola for direct-sun placements; reduces compressor cycling 30-40% in peak summer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Cellular telemetry — Wi-Fi unreliable in steel + concrete park structures (Cantaloupe / Nayax / 365 Retail Markets / AWM)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IP-rated payment terminal (IP54 minimum; IP65 for water-park zones)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Anchoring per IAAPA + ASTM F2291 (Standard Practice for Design of Amusement Rides and Devices) for any equipment near attraction queues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GFCI on 120V; weather-rated electrical disconnect per NEC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308 reach range verified at install + after each phase-relocation; Section 305 clear floor space on level surface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FALCPA allergen labeling + allergen summary signage at every device</w:t>
      </w:r>
    </w:p>
    <w:p>
      <w:pPr>
        <w:pStyle w:val="Heading1"/>
        <w:spacing w:after="150" w:before="300"/>
      </w:pPr>
      <w:r>
        <w:t xml:space="preserve">3. Hurricane + severe-weather protocol</w:t>
      </w:r>
    </w:p>
    <w:p>
      <w:pPr>
        <w:spacing w:after="200"/>
      </w:pPr>
      <w:r>
        <w:t xml:space="preserve">Coastal + Gulf Coast + Southeast parks (FL, GA, AL, MS, LA, TX, NC, SC, VA) need a hurricane protocol; Midwest + Plains parks need a tornado protocol; Pacific NW + California parks need a wildfire smoke + earthquake protocol. The framework below uses hurricane as the worked example; adapt for regional hazards.</w:t>
      </w:r>
    </w:p>
    <w:p>
      <w:pPr>
        <w:spacing w:after="60" w:before="120"/>
      </w:pPr>
      <w:r>
        <w:rPr>
          <w:b/>
          <w:bCs/>
        </w:rPr>
        <w:t xml:space="preserve">1. Pre-season preparation</w:t>
      </w:r>
    </w:p>
    <w:p>
      <w:pPr>
        <w:spacing w:after="120"/>
      </w:pPr>
      <w:r>
        <w:t xml:space="preserve">By June 1, operator confirms all coastal-zone equipment is anchored per ASCE 7 wind-loading; refrigerated equipment temperature alarms tested; surge protection on every device.</w:t>
      </w:r>
    </w:p>
    <w:p>
      <w:pPr>
        <w:spacing w:after="60" w:before="120"/>
      </w:pPr>
      <w:r>
        <w:rPr>
          <w:b/>
          <w:bCs/>
        </w:rPr>
        <w:t xml:space="preserve">2. Watch issuance (72 hours pre-landfall)</w:t>
      </w:r>
    </w:p>
    <w:p>
      <w:pPr>
        <w:spacing w:after="120"/>
      </w:pPr>
      <w:r>
        <w:t xml:space="preserve">Park operations notifies operator; operator pre-positions surge inventory at park warehouse; reviews evacuation-zone equipment list with park operations.</w:t>
      </w:r>
    </w:p>
    <w:p>
      <w:pPr>
        <w:spacing w:after="60" w:before="120"/>
      </w:pPr>
      <w:r>
        <w:rPr>
          <w:b/>
          <w:bCs/>
        </w:rPr>
        <w:t xml:space="preserve">3. Warning issuance (36 hours pre-landfall)</w:t>
      </w:r>
    </w:p>
    <w:p>
      <w:pPr>
        <w:spacing w:after="120"/>
      </w:pPr>
      <w:r>
        <w:t xml:space="preserve">Operator de-energizes evacuation-zone equipment per park operations direction; relocates perishable product to park cold storage or operator warehouse; covers + tarps exposed equipment where structural anchoring allows it to stay in place.</w:t>
      </w:r>
    </w:p>
    <w:p>
      <w:pPr>
        <w:spacing w:after="60" w:before="120"/>
      </w:pPr>
      <w:r>
        <w:rPr>
          <w:b/>
          <w:bCs/>
        </w:rPr>
        <w:t xml:space="preserve">4. Park closure + lockdown (24 hours pre-landfall)</w:t>
      </w:r>
    </w:p>
    <w:p>
      <w:pPr>
        <w:spacing w:after="120"/>
      </w:pPr>
      <w:r>
        <w:t xml:space="preserve">All operator personnel evacuate per park emergency plan; equipment locked + telemetry powered via UPS where battery backup is in place.</w:t>
      </w:r>
    </w:p>
    <w:p>
      <w:pPr>
        <w:spacing w:after="60" w:before="120"/>
      </w:pPr>
      <w:r>
        <w:rPr>
          <w:b/>
          <w:bCs/>
        </w:rPr>
        <w:t xml:space="preserve">5. Post-landfall reentry</w:t>
      </w:r>
    </w:p>
    <w:p>
      <w:pPr>
        <w:spacing w:after="120"/>
      </w:pPr>
      <w:r>
        <w:t xml:space="preserve">Operator reenters per park operations clearance; inspects equipment for damage + water ingress; documents losses with photo evidence + telemetry log; works with insurance adjuster on covered losses.</w:t>
      </w:r>
    </w:p>
    <w:p>
      <w:pPr>
        <w:spacing w:after="60" w:before="120"/>
      </w:pPr>
      <w:r>
        <w:rPr>
          <w:b/>
          <w:bCs/>
        </w:rPr>
        <w:t xml:space="preserve">6. Reopening planogram tilt</w:t>
      </w:r>
    </w:p>
    <w:p>
      <w:pPr>
        <w:spacing w:after="120"/>
      </w:pPr>
      <w:r>
        <w:t xml:space="preserve">First 72 hours post-reopening, planogram tilts heavily to hydration (60-70% water) + comfort snack; full planogram resumes within 7-14 days as supply chain recovers.</w:t>
      </w:r>
    </w:p>
    <w:p>
      <w:pPr>
        <w:spacing w:after="60" w:before="120"/>
      </w:pPr>
      <w:r>
        <w:rPr>
          <w:b/>
          <w:bCs/>
        </w:rPr>
        <w:t xml:space="preserve">7. After-action report</w:t>
      </w:r>
    </w:p>
    <w:p>
      <w:pPr>
        <w:spacing w:after="120"/>
      </w:pPr>
      <w:r>
        <w:t xml:space="preserve">Within 14 business days of park reopening, operator delivers an after-action report — equipment status, losses, lessons-learned, planogram adjustments.</w:t>
      </w:r>
    </w:p>
    <w:p>
      <w:pPr>
        <w:pStyle w:val="Heading1"/>
        <w:spacing w:after="150" w:before="300"/>
      </w:pPr>
      <w:r>
        <w:t xml:space="preserve">4. SLA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SLA 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Remedy</w:t>
            </w:r>
          </w:p>
        </w:tc>
      </w:tr>
      <w:tr>
        <w:tc>
          <w:p>
            <w:r>
              <w:t xml:space="preserve">Per-machine uptime (peak season)</w:t>
            </w:r>
          </w:p>
        </w:tc>
        <w:tc>
          <w:p>
            <w:r>
              <w:t xml:space="preserve">97% monthly Memorial Day-Labor Day</w:t>
            </w:r>
          </w:p>
        </w:tc>
        <w:tc>
          <w:p>
            <w:r>
              <w:t xml:space="preserve">Telemetry — minutes online / minutes in month</w:t>
            </w:r>
          </w:p>
        </w:tc>
        <w:tc>
          <w:p>
            <w:r>
              <w:t xml:space="preserve">Commission credit &lt; 95%; SIP &lt; 92%</w:t>
            </w:r>
          </w:p>
        </w:tc>
      </w:tr>
      <w:tr>
        <w:tc>
          <w:p>
            <w:r>
              <w:t xml:space="preserve">Per-machine uptime (off-season)</w:t>
            </w:r>
          </w:p>
        </w:tc>
        <w:tc>
          <w:p>
            <w:r>
              <w:t xml:space="preserve">95% monthly</w:t>
            </w:r>
          </w:p>
        </w:tc>
        <w:tc>
          <w:p>
            <w:r>
              <w:t xml:space="preserve">Same</w:t>
            </w:r>
          </w:p>
        </w:tc>
        <w:tc>
          <w:p>
            <w:r>
              <w:t xml:space="preserve">SIP &lt; 92%</w:t>
            </w:r>
          </w:p>
        </w:tc>
      </w:tr>
      <w:tr>
        <w:tc>
          <w:p>
            <w:r>
              <w:t xml:space="preserve">Tier-1 ticket resolve (peak season cold-chain / payment)</w:t>
            </w:r>
          </w:p>
        </w:tc>
        <w:tc>
          <w:p>
            <w:r>
              <w:t xml:space="preserve">&lt; 12 hrs</w:t>
            </w:r>
          </w:p>
        </w:tc>
        <w:tc>
          <w:p>
            <w:r>
              <w:t xml:space="preserve">Operator CRM + telemetry</w:t>
            </w:r>
          </w:p>
        </w:tc>
        <w:tc>
          <w:p>
            <w:r>
              <w:t xml:space="preserve">Per-ticket commission credit</w:t>
            </w:r>
          </w:p>
        </w:tc>
      </w:tr>
      <w:tr>
        <w:tc>
          <w:p>
            <w:r>
              <w:t xml:space="preserve">Tier-1 ticket resolve (off-season)</w:t>
            </w:r>
          </w:p>
        </w:tc>
        <w:tc>
          <w:p>
            <w:r>
              <w:t xml:space="preserve">&lt; 24 hrs</w:t>
            </w:r>
          </w:p>
        </w:tc>
        <w:tc>
          <w:p>
            <w:r>
              <w:t xml:space="preserve">Same</w:t>
            </w:r>
          </w:p>
        </w:tc>
        <w:tc>
          <w:p>
            <w:r>
              <w:t xml:space="preserve">Per-ticket commission credit</w:t>
            </w:r>
          </w:p>
        </w:tc>
      </w:tr>
      <w:tr>
        <w:tc>
          <w:p>
            <w:r>
              <w:t xml:space="preserve">Refund response</w:t>
            </w:r>
          </w:p>
        </w:tc>
        <w:tc>
          <w:p>
            <w:r>
              <w:t xml:space="preserve">Cashless &lt; 24 hrs; cash &lt; 7 days</w:t>
            </w:r>
          </w:p>
        </w:tc>
        <w:tc>
          <w:p>
            <w:r>
              <w:t xml:space="preserve">Refund log</w:t>
            </w:r>
          </w:p>
        </w:tc>
        <w:tc>
          <w:p>
            <w:r>
              <w:t xml:space="preserve">Refund rate &gt; 2% triggers planogram review</w:t>
            </w:r>
          </w:p>
        </w:tc>
      </w:tr>
      <w:tr>
        <w:tc>
          <w:p>
            <w:r>
              <w:t xml:space="preserve">Cold-chain excursion</w:t>
            </w:r>
          </w:p>
        </w:tc>
        <w:tc>
          <w:p>
            <w:r>
              <w:t xml:space="preserve">&lt; 4 hrs resolve</w:t>
            </w:r>
          </w:p>
        </w:tc>
        <w:tc>
          <w:p>
            <w:r>
              <w:t xml:space="preserve">Telemetry temperature feed</w:t>
            </w:r>
          </w:p>
        </w:tc>
        <w:tc>
          <w:p>
            <w:r>
              <w:t xml:space="preserve">Spoiled product replaced + root-cause</w:t>
            </w:r>
          </w:p>
        </w:tc>
      </w:tr>
      <w:tr>
        <w:tc>
          <w:p>
            <w:r>
              <w:t xml:space="preserve">Restock cadence (peak season)</w:t>
            </w:r>
          </w:p>
        </w:tc>
        <w:tc>
          <w:p>
            <w:r>
              <w:t xml:space="preserve">Twice daily on high-volume zones; daily on standard zones</w:t>
            </w:r>
          </w:p>
        </w:tc>
        <w:tc>
          <w:p>
            <w:r>
              <w:t xml:space="preserve">Operator restock log</w:t>
            </w:r>
          </w:p>
        </w:tc>
        <w:tc>
          <w:p>
            <w:r>
              <w:t xml:space="preserve">Stockout rate &gt; 3% triggers cadence review</w:t>
            </w:r>
          </w:p>
        </w:tc>
      </w:tr>
      <w:tr>
        <w:tc>
          <w:p>
            <w:r>
              <w:t xml:space="preserve">Hurricane / severe-weather protocol activation</w:t>
            </w:r>
          </w:p>
        </w:tc>
        <w:tc>
          <w:p>
            <w:r>
              <w:t xml:space="preserve">Within 4 hrs of park notification</w:t>
            </w:r>
          </w:p>
        </w:tc>
        <w:tc>
          <w:p>
            <w:r>
              <w:t xml:space="preserve">Park operations log</w:t>
            </w:r>
          </w:p>
        </w:tc>
        <w:tc>
          <w:p>
            <w:r>
              <w:t xml:space="preserve">Notification SLA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Compliance + safety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IAAPA Global Safety Day participation + IAAPA Safety Standards alignment where applicable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ASTM F2291 + ASTM F1193 alignment for any equipment near ride queues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Title III + Section 308 reach range + 305 clear floor space at every device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FALCPA allergen labeling + allergen summary signage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FDA Menu Labeling Final Rule (21 CFR 101.8) for operators with 20+ vending machines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v4.0 attestation through payment vendor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Background-check program on all park-credentialed personnel; cleared per park security plan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— CGL $5M aggregate (higher than typical due to park exposure); additional-insured naming park + property owner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AIM Act refrigerant compliance + ENERGY STAR refrigerated equipment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Spanish + primary regional language signage where the park guest demographic warrants</w:t>
      </w:r>
    </w:p>
    <w:p>
      <w:pPr>
        <w:pStyle w:val="Heading1"/>
        <w:spacing w:after="150" w:before="300"/>
      </w:pPr>
      <w:r>
        <w:t xml:space="preserve">6. RFP response sections</w:t>
      </w:r>
    </w:p>
    <w:p>
      <w:pPr>
        <w:spacing w:after="60" w:before="120"/>
      </w:pPr>
      <w:r>
        <w:rPr>
          <w:b/>
          <w:bCs/>
        </w:rPr>
        <w:t xml:space="preserve">1. Section A — Bidder profile + amusement-park experience</w:t>
      </w:r>
    </w:p>
    <w:p>
      <w:pPr>
        <w:spacing w:after="120"/>
      </w:pPr>
      <w:r>
        <w:t xml:space="preserve">Years operating amusement-park or large-venue vending, fleet count, IAAPA membership, three comparable references with named park operations contact.</w:t>
      </w:r>
    </w:p>
    <w:p>
      <w:pPr>
        <w:spacing w:after="60" w:before="120"/>
      </w:pPr>
      <w:r>
        <w:rPr>
          <w:b/>
          <w:bCs/>
        </w:rPr>
        <w:t xml:space="preserve">2. Section B — Weather-sealing + outdoor equipment spec</w:t>
      </w:r>
    </w:p>
    <w:p>
      <w:pPr>
        <w:spacing w:after="120"/>
      </w:pPr>
      <w:r>
        <w:t xml:space="preserve">NEMA rating per zone, anchoring methodology, hurricane / severe-weather equipment list.</w:t>
      </w:r>
    </w:p>
    <w:p>
      <w:pPr>
        <w:spacing w:after="60" w:before="120"/>
      </w:pPr>
      <w:r>
        <w:rPr>
          <w:b/>
          <w:bCs/>
        </w:rPr>
        <w:t xml:space="preserve">3. Section C — Zone-by-zone planogram</w:t>
      </w:r>
    </w:p>
    <w:p>
      <w:pPr>
        <w:spacing w:after="120"/>
      </w:pPr>
      <w:r>
        <w:t xml:space="preserve">Seven-zone planogram per Section 1 with seasonal adjustment; allergen + dietary + language accommodation.</w:t>
      </w:r>
    </w:p>
    <w:p>
      <w:pPr>
        <w:spacing w:after="60" w:before="120"/>
      </w:pPr>
      <w:r>
        <w:rPr>
          <w:b/>
          <w:bCs/>
        </w:rPr>
        <w:t xml:space="preserve">4. Section D — SLA + telemetry</w:t>
      </w:r>
    </w:p>
    <w:p>
      <w:pPr>
        <w:spacing w:after="120"/>
      </w:pPr>
      <w:r>
        <w:t xml:space="preserve">Match the SLA matrix in Section 4; propose peak vs off-season targets; telemetry vendor + heartbeat + export.</w:t>
      </w:r>
    </w:p>
    <w:p>
      <w:pPr>
        <w:spacing w:after="60" w:before="120"/>
      </w:pPr>
      <w:r>
        <w:rPr>
          <w:b/>
          <w:bCs/>
        </w:rPr>
        <w:t xml:space="preserve">5. Section E — Hurricane / severe-weather protocol</w:t>
      </w:r>
    </w:p>
    <w:p>
      <w:pPr>
        <w:spacing w:after="120"/>
      </w:pPr>
      <w:r>
        <w:t xml:space="preserve">Pre-season + watch + warning + post-event protocol; after-action reporting timeline.</w:t>
      </w:r>
    </w:p>
    <w:p>
      <w:pPr>
        <w:spacing w:after="60" w:before="120"/>
      </w:pPr>
      <w:r>
        <w:rPr>
          <w:b/>
          <w:bCs/>
        </w:rPr>
        <w:t xml:space="preserve">6. Section F — Compliance + safety</w:t>
      </w:r>
    </w:p>
    <w:p>
      <w:pPr>
        <w:spacing w:after="120"/>
      </w:pPr>
      <w:r>
        <w:t xml:space="preserve">IAAPA + ASTM + ADA + FALCPA + PCI + insurance; background check + park credentialing.</w:t>
      </w:r>
    </w:p>
    <w:p>
      <w:pPr>
        <w:spacing w:after="60" w:before="120"/>
      </w:pPr>
      <w:r>
        <w:rPr>
          <w:b/>
          <w:bCs/>
        </w:rPr>
        <w:t xml:space="preserve">7. Section G — Commercial terms</w:t>
      </w:r>
    </w:p>
    <w:p>
      <w:pPr>
        <w:spacing w:after="120"/>
      </w:pPr>
      <w:r>
        <w:t xml:space="preserve">Commission rate + calculation method + payment cadence + audit right + equipment investment + refresh cycle.</w:t>
      </w:r>
    </w:p>
    <w:p>
      <w:pPr>
        <w:spacing w:after="60" w:before="120"/>
      </w:pPr>
      <w:r>
        <w:rPr>
          <w:b/>
          <w:bCs/>
        </w:rPr>
        <w:t xml:space="preserve">8. Section H — References + sustainability + community</w:t>
      </w:r>
    </w:p>
    <w:p>
      <w:pPr>
        <w:spacing w:after="120"/>
      </w:pPr>
      <w:r>
        <w:t xml:space="preserve">Three references with named park operations contact; ENERGY STAR commitment; local-supplier inclusion.</w:t>
      </w:r>
    </w:p>
    <w:p>
      <w:pPr>
        <w:spacing w:before="400"/>
      </w:pPr>
      <w:r>
        <w:rPr>
          <w:i/>
          <w:iCs/>
          <w:color w:val="6B7280"/>
        </w:rPr>
        <w:t xml:space="preserve">This framework is a working procurement reference. Final RFP + contract should be reviewed by park counsel, park operations, the safety officer, and IAAPA-aligned compliance lead where applicable. Zone-by-zone planogram + weather-sealing + hurricane protocol + peak-season SLA together define a defensible amusement-park vending program; gaps in any of them surface within the first peak season.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Amusement Park Vending Framework</dc:title>
  <dc:creator>LetUsVending</dc:creator>
  <dc:description>Zone-by-zone SKU planograms, weather-sealing specification, hurricane protocol, and operator RFP template</dc:description>
  <cp:lastModifiedBy>Un-named</cp:lastModifiedBy>
  <cp:revision>1</cp:revision>
  <dcterms:created xsi:type="dcterms:W3CDTF">2026-05-17T13:17:59.294Z</dcterms:created>
  <dcterms:modified xsi:type="dcterms:W3CDTF">2026-05-17T13:17:59.294Z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