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Vending Contract Fee Review Checklist</w:t>
      </w:r>
    </w:p>
    <w:p>
      <w:pPr>
        <w:spacing w:after="200"/>
      </w:pPr>
      <w:r>
        <w:rPr>
          <w:i/>
          <w:iCs/>
          <w:color w:val="6B7280"/>
        </w:rPr>
        <w:t xml:space="preserve">Commission, relocation, termination, processing, and pass-through fee audit</w:t>
      </w:r>
    </w:p>
    <w:p>
      <w:pPr>
        <w:spacing w:after="300"/>
      </w:pPr>
      <w:r>
        <w:t xml:space="preserve">Use this checklist when reviewing a proposal, RFP response, or active contract. The same headline commission rate can become a very different effective rate once fees and deductions are applied. Mark each item as Disclosed in writing, Verbally discussed, or Not addressed — and require written disclosure on every fee category before signing.</w:t>
      </w:r>
    </w:p>
    <w:p>
      <w:pPr>
        <w:pStyle w:val="Heading1"/>
        <w:spacing w:after="150" w:before="300"/>
      </w:pPr>
      <w:r>
        <w:t xml:space="preserve">1. Commission and revenue base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Commission base defined: gross sales or net sales (net of what — sales tax, processing fees, refunds, shrink, breakage)?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Sales tax treatment: does the operator deduct collected sales tax before applying the commission rate?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Cashless processing pass-through: are payment processing fees (typically 2.5-4% of cashless gross) deducted from the commission base?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Refunds and chargebacks: deducted from the commission base, or absorbed by the operator?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Volume tier definitions: do tiers reset monthly, quarterly, or annually, and are they per-machine or aggregate?</w:t>
      </w:r>
    </w:p>
    <w:p>
      <w:pPr>
        <w:pStyle w:val="Heading1"/>
        <w:spacing w:after="150" w:before="300"/>
      </w:pPr>
      <w:r>
        <w:t xml:space="preserve">2. One-time and setup fees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Installation fee, delivery fee, or setup fee disclosed in writing.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Electrical or plumbing work cost responsibility (operator vs. host) defined; ≥ $500-$2,000 is a typical range for a dedicated 20A 120V circuit or 240V install.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Machine relocation fee schedule disclosed; typical range $150-$500 per machine per move.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Signage, decal, or co-branding setup cost disclosed.</w:t>
      </w:r>
    </w:p>
    <w:p>
      <w:pPr>
        <w:pStyle w:val="Heading1"/>
        <w:spacing w:after="150" w:before="300"/>
      </w:pPr>
      <w:r>
        <w:t xml:space="preserve">3. Ongoing operational fees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Telemetry or technology fee disclosed (sometimes passed through as a flat monthly fee, sometimes embedded in the processing rate).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Software / app subscription fee for operator app or kiosk loyalty program disclosed.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Energy reimbursement clause: who pays for the machine's metered electricity (~$15-$30 per machine per month for refrigerated units)?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Cleaning and stocking labor fees, if charged separately from commission, disclosed.</w:t>
      </w:r>
    </w:p>
    <w:p>
      <w:pPr>
        <w:pStyle w:val="Heading1"/>
        <w:spacing w:after="150" w:before="300"/>
      </w:pPr>
      <w:r>
        <w:t xml:space="preserve">4. Termination and exit fees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Early termination fee disclosed and tied to undepreciated capital investment (e.g., signing bonuses, electrical, or branding work).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Machine removal fee disclosed; standard practice is operator pays for removal except in early host-initiated termination.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Liquidated damages clause reviewed for reasonableness — a flat 6-12 months of commission projection is the common (but contestable) market reference.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Restoration cost: floor patching, electrical decommissioning, signage removal — who pays?</w:t>
      </w:r>
    </w:p>
    <w:p>
      <w:pPr>
        <w:pStyle w:val="Heading1"/>
        <w:spacing w:after="150" w:before="300"/>
      </w:pPr>
      <w:r>
        <w:t xml:space="preserve">5. Hidden pass-through and audit-recoverable fees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Commission adjustments for shrink (theft, breakage, expired stock): defined as a percentage cap, not open-ended.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Inventory reconciliation methodology: physical count vs. telemetry-derived; mismatch tolerance disclosed.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Fuel or delivery surcharge clause: tied to a published index (e.g., EIA diesel price), not a unilateral operator decision.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CPI escalator clause: applied to retail pricing only, not commission rate.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Audit rights: host may inspect operator sales records, telemetry, and processor reports with reasonable notice to verify pass-through fee calculations.</w:t>
      </w:r>
    </w:p>
    <w:p>
      <w:pPr>
        <w:spacing w:before="400"/>
      </w:pPr>
      <w:r>
        <w:rPr>
          <w:i/>
          <w:iCs/>
          <w:color w:val="6B7280"/>
        </w:rPr>
        <w:t xml:space="preserve">This checklist is informational and not legal or financial advice. Effective commission rate = headline rate × (net base / gross base) − (operational pass-throughs / gross base). Run the math on three months of representative data before signing. LetUsVending can introduce you to operators willing to disclose every fee category in writing — request a side-by-side fee schedule.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Vending Contract Fee Review Checklist</dc:title>
  <dc:creator>LetUsVending</dc:creator>
  <dc:description>Commission, relocation, termination, processing, and pass-through fee audit</dc:description>
  <cp:lastModifiedBy>Un-named</cp:lastModifiedBy>
  <cp:revision>1</cp:revision>
  <dcterms:created xsi:type="dcterms:W3CDTF">2026-05-17T13:17:59.421Z</dcterms:created>
  <dcterms:modified xsi:type="dcterms:W3CDTF">2026-05-17T13:17:59.422Z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