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Outdoor Vending Placement Site Survey Checklist</w:t>
      </w:r>
    </w:p>
    <w:p>
      <w:pPr>
        <w:spacing w:after="200"/>
      </w:pPr>
      <w:r>
        <w:rPr>
          <w:i/>
          <w:iCs/>
          <w:color w:val="6B7280"/>
        </w:rPr>
        <w:t xml:space="preserve">Equipment rating, power, overhead protection, climate, anchoring, and cellular connectivity</w:t>
      </w:r>
    </w:p>
    <w:p>
      <w:pPr>
        <w:spacing w:after="300"/>
      </w:pPr>
      <w:r>
        <w:t xml:space="preserve">Use this checklist before quoting an outdoor vending placement. Outdoor placements multiply the failure modes of an indoor install — equipment must be rated for outdoor use, electrical must meet NEC outdoor branch-circuit requirements, and the site must support reliable telemetry. Mark each item as Verified, Accepted with mitigation, or Reject before scheduling install.</w:t>
      </w:r>
    </w:p>
    <w:p>
      <w:pPr>
        <w:pStyle w:val="Heading1"/>
        <w:spacing w:after="150" w:before="300"/>
      </w:pPr>
      <w:r>
        <w:t xml:space="preserve">1. Equipment rating and enclosure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listed for outdoor use by manufacturer (outdoor-rated SKU or outdoor enclosure model).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UL 751 (commercial refrigerator) or comparable listing for any cold/refrigerated unit; NEMA 3R or NEMA 4 enclosure rating for the electrical compartment.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Operating temperature window stated by manufacturer; typical outdoor units rated -10°F to 110°F ambient.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Vandal-resistant glass / polycarbonate front per manufacturer outdoor spec (typical thickness ≥ ½ inch).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 box and dispense bin locking mechanisms designed for outdoor use (corrosion-resistant tumblers or electronic locks).</w:t>
      </w:r>
    </w:p>
    <w:p>
      <w:pPr>
        <w:pStyle w:val="Heading1"/>
        <w:spacing w:after="150" w:before="300"/>
      </w:pPr>
      <w:r>
        <w:t xml:space="preserve">2. Power and electrical — NEC outdoor branch-circuit requirements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Dedicated 20A 120V circuit (or 240V where required), wired to a GFCI receptacle per NEC 210.8(B) for outdoor commercial locations.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Receptacle in a weatherproof in-use cover (NEMA WD-6 / UL 514D 'extra duty' rating) regardless of whether a plug is currently engaged.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Conductor and conduit rated for outdoor / wet locations (UF cable, RMC, or LFMC per NEC Article 300).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Surge protective device (SPD) rated for the branch circuit; outdoor lightning exposure significantly raises risk.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Voltage drop ≤ 3% at maximum running load — verify with a clamp meter under compressor start.</w:t>
      </w:r>
    </w:p>
    <w:p>
      <w:pPr>
        <w:pStyle w:val="Heading1"/>
        <w:spacing w:after="150" w:before="300"/>
      </w:pPr>
      <w:r>
        <w:t xml:space="preserve">3. Overhead protection and ground conditions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Permanent overhead cover (roof / awning / canopy) extends at least 24 inches beyond the machine footprint on all sides where rain or sun exposure is direct.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Slope or drainage adequate so water does not pool at the machine base; machine sits on a curb, pad, or platform above the surrounding finished grade.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Distance from sprinkler heads, downspouts, and roof drainage outlets at least 36 inches.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Direct sun exposure on the cabinet face limited; south- or west-facing placements may exceed manufacturer ambient rating in summer.</w:t>
      </w:r>
    </w:p>
    <w:p>
      <w:pPr>
        <w:pStyle w:val="Heading1"/>
        <w:spacing w:after="150" w:before="300"/>
      </w:pPr>
      <w:r>
        <w:t xml:space="preserve">4. Climate and seasonal operation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SKU placement: ambient temperature in coldest month ≥ manufacturer minimum (typically 32-40°F).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Snack SKU placement: chocolate and confection products require ambient ≤ 75°F for shelf integrity.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Humidity exposure: outdoor humidity &gt; 90% with poor ventilation accelerates corrosion; specify a corrosion-resistant cabinet finish.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Wind exposure: anchoring schedule sized for the local design wind speed per ASCE 7 (typically 90-130 mph nominal, 3-second gust).</w:t>
      </w:r>
    </w:p>
    <w:p>
      <w:pPr>
        <w:pStyle w:val="Heading1"/>
        <w:spacing w:after="150" w:before="300"/>
      </w:pPr>
      <w:r>
        <w:t xml:space="preserve">5. Anchoring, security, and ADA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anchored to concrete pad or building structure per manufacturer outdoor anchoring spec (typical: 4 × ½ inch concrete anchor bolts to 4 inch slab).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Bollards or curb stops protect the machine front from vehicle impact where parking, drive lanes, or pedestrian traffic is within 8 feet.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Lighting: at least 10 foot-candles at the machine face during operating hours per IESNA outdoor commercial recommendation.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III + Section 308 reach range, clear floor space, and operating force met at the outdoor location (same standards apply outdoors).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CCTV or operator-monitored security camera covers the machine face where the site is public-facing or operates overnight.</w:t>
      </w:r>
    </w:p>
    <w:p>
      <w:pPr>
        <w:pStyle w:val="Heading1"/>
        <w:spacing w:after="150" w:before="300"/>
      </w:pPr>
      <w:r>
        <w:t xml:space="preserve">6. Cellular connectivity and telemetry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signal strength at machine location ≥ -100 dBm RSRP (LTE) measured by operator at survey, with the carrier the telemetry modem uses.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Fallback connectivity option (alternate carrier SIM, Wi-Fi bridge to building network) defined if primary signal is marginal.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heartbeat configured ≤ 15 minutes; offline alert SLA ≤ 30 minutes.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acceptance latency verified at site — outdoor installs occasionally fail tap-to-pay if the modem cannot maintain a session.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engineering advice. Outdoor placements should be reviewed by a licensed electrician and a code official for NEC, ASCE 7 wind, and local jurisdiction requirements. LetUsVending can connect you with operators equipped for outdoor placements — request the outdoor capability matrix to compare candidates.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Outdoor Vending Placement Site Survey Checklist</dc:title>
  <dc:creator>LetUsVending</dc:creator>
  <dc:description>Equipment rating, power, overhead protection, climate, anchoring, and cellular connectivity</dc:description>
  <cp:lastModifiedBy>Un-named</cp:lastModifiedBy>
  <cp:revision>1</cp:revision>
  <dcterms:created xsi:type="dcterms:W3CDTF">2026-05-17T13:18:00.625Z</dcterms:created>
  <dcterms:modified xsi:type="dcterms:W3CDTF">2026-05-17T13:18:00.625Z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