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Office Combo vs Paired vs AI Cooler Decision Framework</w:t>
      </w:r>
    </w:p>
    <w:p>
      <w:pPr>
        <w:spacing w:after="200"/>
      </w:pPr>
      <w:r>
        <w:rPr>
          <w:i/>
          <w:iCs/>
          <w:color w:val="6B7280"/>
        </w:rPr>
        <w:t xml:space="preserve">Employee-count threshold, operator capability checklist, and RFP scope</w:t>
      </w:r>
    </w:p>
    <w:p>
      <w:pPr>
        <w:spacing w:after="300"/>
      </w:pPr>
      <w:r>
        <w:t xml:space="preserve">Use this framework to choose between a combo machine, a paired snack+beverage layout, and an AI-cooler / micro-market install for a 15-200 employee office. Choice is driven by headcount, breakroom footprint, planogram complexity, and operator capability — not aesthetics.</w:t>
      </w:r>
    </w:p>
    <w:p>
      <w:pPr>
        <w:pStyle w:val="Heading1"/>
        <w:spacing w:after="150" w:before="300"/>
      </w:pPr>
      <w:r>
        <w:t xml:space="preserve">Employee-count + format selection thresholds</w:t>
      </w:r>
    </w:p>
    <w:p>
      <w:pPr>
        <w:spacing w:after="200"/>
      </w:pPr>
      <w:r>
        <w:t xml:space="preserve">These thresholds reflect Automatic Merchandiser 2024 State of the Industry per-stop revenue tables. Below 50 employees a combo is the only revenue-viable format; above 100 employees a combo will stockout and frustrate users.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Employee count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Recommended format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15-50</w:t>
            </w:r>
          </w:p>
        </w:tc>
        <w:tc>
          <w:p>
            <w:r>
              <w:t xml:space="preserve">Combo machine (snack + beverage in one cabinet)</w:t>
            </w:r>
          </w:p>
        </w:tc>
        <w:tc>
          <w:p>
            <w:r>
              <w:t xml:space="preserve">30-40 SKU max; weekly restock; commission typically 0-10%.</w:t>
            </w:r>
          </w:p>
        </w:tc>
      </w:tr>
      <w:tr>
        <w:tc>
          <w:p>
            <w:r>
              <w:t xml:space="preserve">50-100</w:t>
            </w:r>
          </w:p>
        </w:tc>
        <w:tc>
          <w:p>
            <w:r>
              <w:t xml:space="preserve">Paired snack + beverage (two machines)</w:t>
            </w:r>
          </w:p>
        </w:tc>
        <w:tc>
          <w:p>
            <w:r>
              <w:t xml:space="preserve">60-80 SKU; 2x weekly restock; commission 10-15%.</w:t>
            </w:r>
          </w:p>
        </w:tc>
      </w:tr>
      <w:tr>
        <w:tc>
          <w:p>
            <w:r>
              <w:t xml:space="preserve">100-150</w:t>
            </w:r>
          </w:p>
        </w:tc>
        <w:tc>
          <w:p>
            <w:r>
              <w:t xml:space="preserve">Paired + AI cooler (grab-and-go fresh)</w:t>
            </w:r>
          </w:p>
        </w:tc>
        <w:tc>
          <w:p>
            <w:r>
              <w:t xml:space="preserve">Adds fresh-food revenue; commission 15-20%; cold-chain required.</w:t>
            </w:r>
          </w:p>
        </w:tc>
      </w:tr>
      <w:tr>
        <w:tc>
          <w:p>
            <w:r>
              <w:t xml:space="preserve">150-200</w:t>
            </w:r>
          </w:p>
        </w:tc>
        <w:tc>
          <w:p>
            <w:r>
              <w:t xml:space="preserve">Micro-market (kiosk + coolers + ambient racks)</w:t>
            </w:r>
          </w:p>
        </w:tc>
        <w:tc>
          <w:p>
            <w:r>
              <w:t xml:space="preserve">150+ SKU; daily/EOD restock; commission 15-25%; PCI-DSS scope.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When NOT to choose a combo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Headcount &gt; 75 — single-cabinet capacity will stockout daily.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wants &gt; 30 SKUs — combo capacity caps at 30-40 SKUs across snack + beverage.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wants fresh food — combos don't typically support 41°F TCS food per FDA Food Code 2022.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wants per-SKU velocity data — most combos use legacy controllers without telemetry.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wants cashless on every selection — older combos retrofit poorly to PCI-DSS v4.0 readers.</w:t>
      </w:r>
    </w:p>
    <w:p>
      <w:pPr>
        <w:pStyle w:val="Heading1"/>
        <w:spacing w:after="150" w:before="300"/>
      </w:pPr>
      <w:r>
        <w:t xml:space="preserve">Combo machine specification checklist</w:t>
      </w:r>
    </w:p>
    <w:p>
      <w:pPr>
        <w:spacing w:after="200"/>
      </w:pPr>
      <w:r>
        <w:t xml:space="preserve">If your headcount fits the 15-50 employee range, specify the combo to industry standards. Avoid bargain combos with non-MDB controllers — they cannot be retrofitted for cashless or telemetry.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Current-generation MDB controller (Crane, AMS, Seaga, USI/Wittern, Federal — current models).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reader on the spec sheet — Nayax, Cantaloupe, or 365 Retail Markets; PCI-DSS v4.0 compliant.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lower section holds beverages at 33-40°F per FDA Food Code 2022.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reach range — highest operable part ≤ 48 inches; selection buttons + payment within reach.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UL 541 (refrigerated) or UL 751 (non-refrigerated) label present.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Drop-sensor / iVend — refunds automated on missed drops.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— cellular modem with sub-15-minute heartbeat.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Energy Star certification (most current OEM models qualify).</w:t>
      </w:r>
    </w:p>
    <w:p>
      <w:pPr>
        <w:pStyle w:val="Heading1"/>
        <w:spacing w:after="150" w:before="300"/>
      </w:pPr>
      <w:r>
        <w:t xml:space="preserve">Operator capability checklist (any format)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on every machine; sub-15-minute heartbeat.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SLA Tier 1 &lt; 24 hour resolution; documented in MSA.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flow: app + on-machine touchpad + SMS-to-refund number.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refresh cadence every 45-60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attestation (SAQ-C-VT or higher).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annual recertification per Section 308.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Food Code 2022 cold-chain attestation (refrigerated SKUs).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QBR cadence quarterly with stockout-rate, refund-rate, velocity reporting.</w:t>
      </w:r>
    </w:p>
    <w:p>
      <w:pPr>
        <w:pStyle w:val="Heading1"/>
        <w:spacing w:after="150" w:before="300"/>
      </w:pPr>
      <w:r>
        <w:t xml:space="preserve">RFP scope template — what to ask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Format recommendation (combo / paired / cooler / market) with employee-count rationale.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planogram by SKU with wholesale + retail pricing.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structure with stockout-rate-linked adjustments.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SLA tiers with credits for missed SLA.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+ quarterly report formats.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COI ≥ $2M product liability with host as additional insured.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Three same-metro client references.</w:t>
      </w:r>
    </w:p>
    <w:p>
      <w:pPr>
        <w:pStyle w:val="Heading1"/>
        <w:spacing w:after="150" w:before="300"/>
      </w:pPr>
      <w:r>
        <w:t xml:space="preserve">Cost benchmarks — operator-funded equipment (capital-light to host)</w:t>
      </w:r>
    </w:p>
    <w:p>
      <w:pPr>
        <w:spacing w:after="200"/>
      </w:pPr>
      <w:r>
        <w:t xml:space="preserve">Most office vending in the US is operator-funded — operator owns the machine and recovers cost through margin. Below are typical sticker prices if a host chooses to buy equipment outright.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Equipment cost (new)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Equipment cost (refurb)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monthly net (typical)</w:t>
            </w:r>
          </w:p>
        </w:tc>
      </w:tr>
      <w:tr>
        <w:tc>
          <w:p>
            <w:r>
              <w:t xml:space="preserve">Combo (single cabinet)</w:t>
            </w:r>
          </w:p>
        </w:tc>
        <w:tc>
          <w:p>
            <w:r>
              <w:t xml:space="preserve">$5,500-$8,500</w:t>
            </w:r>
          </w:p>
        </w:tc>
        <w:tc>
          <w:p>
            <w:r>
              <w:t xml:space="preserve">$2,800-$4,500</w:t>
            </w:r>
          </w:p>
        </w:tc>
        <w:tc>
          <w:p>
            <w:r>
              <w:t xml:space="preserve">$200-$400</w:t>
            </w:r>
          </w:p>
        </w:tc>
      </w:tr>
      <w:tr>
        <w:tc>
          <w:p>
            <w:r>
              <w:t xml:space="preserve">Snack + beverage paired</w:t>
            </w:r>
          </w:p>
        </w:tc>
        <w:tc>
          <w:p>
            <w:r>
              <w:t xml:space="preserve">$9,000-$15,000</w:t>
            </w:r>
          </w:p>
        </w:tc>
        <w:tc>
          <w:p>
            <w:r>
              <w:t xml:space="preserve">$4,500-$8,000</w:t>
            </w:r>
          </w:p>
        </w:tc>
        <w:tc>
          <w:p>
            <w:r>
              <w:t xml:space="preserve">$500-$1,200</w:t>
            </w:r>
          </w:p>
        </w:tc>
      </w:tr>
      <w:tr>
        <w:tc>
          <w:p>
            <w:r>
              <w:t xml:space="preserve">AI cooler (single)</w:t>
            </w:r>
          </w:p>
        </w:tc>
        <w:tc>
          <w:p>
            <w:r>
              <w:t xml:space="preserve">$10,000-$18,000</w:t>
            </w:r>
          </w:p>
        </w:tc>
        <w:tc>
          <w:p>
            <w:r>
              <w:t xml:space="preserve">N/A — typically only new</w:t>
            </w:r>
          </w:p>
        </w:tc>
        <w:tc>
          <w:p>
            <w:r>
              <w:t xml:space="preserve">$800-$2,000</w:t>
            </w:r>
          </w:p>
        </w:tc>
      </w:tr>
      <w:tr>
        <w:tc>
          <w:p>
            <w:r>
              <w:t xml:space="preserve">Micro-market (kiosk + 2 coolers + ambient)</w:t>
            </w:r>
          </w:p>
        </w:tc>
        <w:tc>
          <w:p>
            <w:r>
              <w:t xml:space="preserve">$25,000-$60,000</w:t>
            </w:r>
          </w:p>
        </w:tc>
        <w:tc>
          <w:p>
            <w:r>
              <w:t xml:space="preserve">$15,000-$35,000</w:t>
            </w:r>
          </w:p>
        </w:tc>
        <w:tc>
          <w:p>
            <w:r>
              <w:t xml:space="preserve">$2,000-$6,000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iCs/>
          <w:color w:val="6B7280"/>
        </w:rPr>
        <w:t xml:space="preserve">This framework is operational guidance. Equipment costs vary by region and supply-chain conditions; obtain three quotes before committing to outright purchase.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Combo vs Paired vs AI Cooler Decision Framework</dc:title>
  <dc:creator>LetUsVending</dc:creator>
  <dc:description>Employee-count threshold, operator capability checklist, and RFP scope</dc:description>
  <cp:lastModifiedBy>Un-named</cp:lastModifiedBy>
  <cp:revision>1</cp:revision>
  <dcterms:created xsi:type="dcterms:W3CDTF">2026-05-17T13:18:01.357Z</dcterms:created>
  <dcterms:modified xsi:type="dcterms:W3CDTF">2026-05-17T13:18:01.358Z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