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Vending Contract Clause Checklist</w:t>
      </w:r>
    </w:p>
    <w:p>
      <w:pPr>
        <w:spacing w:after="200"/>
      </w:pPr>
      <w:r>
        <w:rPr>
          <w:i/>
          <w:iCs/>
          <w:color w:val="6B7280"/>
        </w:rPr>
        <w:t xml:space="preserve">Term, exclusivity, commission, termination, insurance, indemnification, and compliance</w:t>
      </w:r>
    </w:p>
    <w:p>
      <w:pPr>
        <w:spacing w:after="300"/>
      </w:pPr>
      <w:r>
        <w:t xml:space="preserve">Use this checklist before signing or counter-signing a vending Master Service Agreement (MSA). Each clause below appears in most operator-drafted MSAs; the checklist flags the version host counsel should request. Standards cite ADA 2010, PCI-DSS v4.0, FDA Food Code 2022, FTC 16 CFR Part 437.</w:t>
      </w:r>
    </w:p>
    <w:p>
      <w:pPr>
        <w:pStyle w:val="Heading1"/>
        <w:spacing w:after="150" w:before="300"/>
      </w:pPr>
      <w:r>
        <w:t xml:space="preserve">Clause 1 — Term + renewal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Initial term 1-3 years (3 years is industry-standard for micro-markets; 1-2 years for single machines).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Renewal default — month-to-month after initial term, OR explicit re-up requiring host signature. Avoid auto-renewal for multi-year periods.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Notice for non-renewal — 60-90 days before term expiry; mutual.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Term should not exceed equipment useful life (typically 7 years for vending; 5 for kiosk systems).</w:t>
      </w:r>
    </w:p>
    <w:p>
      <w:pPr>
        <w:pStyle w:val="Heading1"/>
        <w:spacing w:after="150" w:before="300"/>
      </w:pPr>
      <w:r>
        <w:t xml:space="preserve">Clause 2 — Exclusivity scope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Exclusivity limited to vending + micro-market service. Carve-outs: pantry service, catering, executive dining, branded coffee bar, BYO from home, employee-funded gift snacks.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Geographic scope — specific building(s) named; not 'company premises generally.'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Exclusivity loss conditions — operator's repeated SLA failures, refund-rate excess, or compliance lapse should void exclusivity, not just trigger commission cuts.</w:t>
      </w:r>
    </w:p>
    <w:p>
      <w:pPr>
        <w:pStyle w:val="Heading1"/>
        <w:spacing w:after="150" w:before="300"/>
      </w:pPr>
      <w:r>
        <w:t xml:space="preserve">Clause 3 — Commission structure</w:t>
      </w:r>
    </w:p>
    <w:p>
      <w:pPr>
        <w:spacing w:after="200"/>
      </w:pPr>
      <w:r>
        <w:t xml:space="preserve">Commission norms reflect Automatic Merchandiser 2024 State of the Industry data. Higher commission isn't always better — a 25% commission on a high-volume stop nets the host more than 35% on a low-volume stop.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Commission stated as a % of net sales (after sales tax, refunds, and credit-card processing fees) — not gross.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Commission tier structure based on machine type (snack / beverage / micro-market) and audience size.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Monthly commission reporting; payment within 30 days of month-end.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Host audit right — host can audit operator records on 30 days notice annually.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Commission floor for stops that fail to meet velocity targets due to operator service failures.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Price-increase cap — typically CPI + 2% annually; operator notifies host 30 days before any price change.</w:t>
      </w:r>
    </w:p>
    <w:p>
      <w:pPr>
        <w:pStyle w:val="Heading1"/>
        <w:spacing w:after="150" w:before="300"/>
      </w:pPr>
      <w:r>
        <w:t xml:space="preserve">Clause 4 — Termination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Termination for convenience — 30-90 day mutual notice. (Operators may push for cause-only termination; resist.)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Termination for cause — material breach of SLA, refund-rate, compliance attestation (PCI-DSS / ADA / FDA / state sales tax).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Cure period — 30 days from written notice; second notice = termination.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Termination-for-cause carve-outs — foodborne illness, PCI breach, ADA violation: immediate termination without cure period.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Exit fees — not industry-standard; resist any clause imposing fees &gt; 3 months commission.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Equipment removal — operator removes equipment within 30 days at no cost to host; host has right to charge storage if not removed.</w:t>
      </w:r>
    </w:p>
    <w:p>
      <w:pPr>
        <w:pStyle w:val="Heading1"/>
        <w:spacing w:after="150" w:before="300"/>
      </w:pPr>
      <w:r>
        <w:t xml:space="preserve">Clause 5 — Service SLA + credits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Tier-1 (machine down, payment failure, temperature excursion) — acknowledge &lt; 4 hours, resolve &lt; 24 hours.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Tier-2 (stockout, planogram refresh) — acknowledge &lt; 24 hours, resolve &lt; 7 days.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Tier-3 (cosmetic, signage) — acknowledge &lt; 5 days, resolve &lt; 14 days.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SLA credits for missed targets — e.g., 5% commission credit per missed Tier-1 SLA in a month.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SLA reporting — operator delivers monthly SLA-adherence report to host.</w:t>
      </w:r>
    </w:p>
    <w:p>
      <w:pPr>
        <w:pStyle w:val="Heading1"/>
        <w:spacing w:after="150" w:before="300"/>
      </w:pPr>
      <w:r>
        <w:t xml:space="preserve">Clause 6 — Compliance attestations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PCI-DSS v4.0 — operator delivers current SAQ-C-VT or ROC annually.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ADA Section 308 — annual recertification with photos + measurements.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FDA Food Code 2022 — cold-chain attestation; HACCP-style temperature log per restock.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FALCPA allergen labels on every SKU; allergen summary on machine / kiosk face.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State + local licensing — operator attests to current sales-tax permit, food-service license (if applicable), and city business license.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Smart Snacks attestation if K-12 — SKU-level compliance log per USDA 7 CFR 210.11.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Privacy / data-processing addendum if a loyalty app collects PII (CCPA / CPRA / VCDPA / CPA / CTDPA).</w:t>
      </w:r>
    </w:p>
    <w:p>
      <w:pPr>
        <w:pStyle w:val="Heading1"/>
        <w:spacing w:after="150" w:before="300"/>
      </w:pPr>
      <w:r>
        <w:t xml:space="preserve">Clause 7 — Insurance + COI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General liability ≥ $1M per occurrence / $2M aggregate.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Product liability ≥ $2M per occurrence with foodborne-illness coverage explicit.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Commercial auto ≥ $1M combined single limit.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Workers compensation per state statute.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Cyber liability ≥ $1M (PCI breach response, notification, credit monitoring).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Host named as additional insured + certificate-holder; 30-day notice of cancellation.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COI re-issued annually; if operator fails to provide, host may withhold commission until cured.</w:t>
      </w:r>
    </w:p>
    <w:p>
      <w:pPr>
        <w:pStyle w:val="Heading1"/>
        <w:spacing w:after="150" w:before="300"/>
      </w:pPr>
      <w:r>
        <w:t xml:space="preserve">Clause 8 — Indemnification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indemnifies host for foodborne illness traceable to operator product.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indemnifies host for PCI-DSS breach of operator systems.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indemnifies host for ADA non-conformance penalties.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indemnifies host for sales-tax assessment arising from operator collection error.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indemnifies host for product-liability claims by employees / visitors.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Mutual indemnification for IP and trademark; operator indemnifies for any third-party IP claim related to kiosk software.</w:t>
      </w:r>
    </w:p>
    <w:p>
      <w:pPr>
        <w:pStyle w:val="Heading1"/>
        <w:spacing w:after="150" w:before="300"/>
      </w:pPr>
      <w:r>
        <w:t xml:space="preserve">Clause 9 — Refund + customer-service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Refund flow: app + on-machine touchpad + SMS-to-refund number.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Cashless refund within 24 hours; cash refund at next restock visit (max 7 days).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Refund-rate KPI &lt; 2% of transactions; rates above trigger root-cause review.</w:t>
      </w:r>
    </w:p>
    <w:p>
      <w:pPr>
        <w:pStyle w:val="Heading1"/>
        <w:spacing w:after="150" w:before="300"/>
      </w:pPr>
      <w:r>
        <w:t xml:space="preserve">Clause 10 — Miscellaneous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Governing law + venue — host's state preferred (operator MSAs default to operator's state).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Assignment — operator can't assign without host consent; mergers / acquisitions handled separately.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Force majeure — explicit carve-out for foodborne illness, PCI breach (operator-caused events are NOT force majeure).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Confidentiality — mutual NDA for host-specific sales data + employee PII.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Entire agreement + amendment — written amendments only; no oral modifications.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Severability + survival — indemnification + confidentiality survive termination.</w:t>
      </w:r>
    </w:p>
    <w:p>
      <w:pPr>
        <w:spacing w:before="400"/>
      </w:pPr>
      <w:r>
        <w:rPr>
          <w:i/>
          <w:iCs/>
          <w:color w:val="6B7280"/>
        </w:rPr>
        <w:t xml:space="preserve">This checklist is informational and not legal advice. Have a state-licensed attorney review every MSA before signature; state-specific clauses (sales tax, breach notification, privacy law) require local counsel.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Vending Contract Clause Checklist</dc:title>
  <dc:creator>LetUsVending</dc:creator>
  <dc:description>Term, exclusivity, commission, termination, insurance, indemnification, and compliance</dc:description>
  <cp:lastModifiedBy>Un-named</cp:lastModifiedBy>
  <cp:revision>1</cp:revision>
  <dcterms:created xsi:type="dcterms:W3CDTF">2026-05-17T13:18:01.410Z</dcterms:created>
  <dcterms:modified xsi:type="dcterms:W3CDTF">2026-05-17T13:18:01.411Z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