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Location Deal-Breaker Checklist</w:t>
      </w:r>
    </w:p>
    <w:p>
      <w:pPr>
        <w:spacing w:after="200"/>
      </w:pPr>
      <w:r>
        <w:rPr>
          <w:i/>
          <w:iCs/>
          <w:color w:val="6B7280"/>
        </w:rPr>
        <w:t xml:space="preserve">12 walk-away signals + restructuring patterns for owner-operators</w:t>
      </w:r>
    </w:p>
    <w:p>
      <w:pPr>
        <w:spacing w:after="300"/>
      </w:pPr>
      <w:r>
        <w:t xml:space="preserve">Owner-operators evaluating a new placement frequently sign a 12-month commitment based on a single capture-rate estimate. This checklist gives a 12-signal walk-away framework derived from common patterns in route-route operator forums (NAMA OpX, Vending Times, AVN). Each signal is paired with a restructuring pattern — a way to keep the location only if specific changes are negotiated up front.</w:t>
      </w:r>
    </w:p>
    <w:p>
      <w:pPr>
        <w:pStyle w:val="Heading1"/>
        <w:spacing w:after="150" w:before="300"/>
      </w:pPr>
      <w:r>
        <w:t xml:space="preserve">1. Population + capture-rate signals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1 — Average daily population (ADP) &lt; 75 in a single-machine placement (snack); walk away or restructure as cashless-only with no service-truck dedication.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2 — Hybrid / remote workforce &gt; 50%; office ADP is the in-office headcount, not the badge roster. Verify with HR or badge-data sample.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3 — Single-shift placement that's claimed as 24/7 — confirm by walk-through at 11 PM and 3 AM before committing.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4 — Visible competitor (corner store, food trucks, third-party micro-market) within 500 ft and contractually preferred.</w:t>
      </w:r>
    </w:p>
    <w:p>
      <w:pPr>
        <w:pStyle w:val="Heading1"/>
        <w:spacing w:after="150" w:before="300"/>
      </w:pPr>
      <w:r>
        <w:t xml:space="preserve">2. Commission + economics signals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5 — Decision-maker demands commission &gt; 25% at projected gross &lt; $8,000/yr; math does not work for a route operator. Restructure or walk.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6 — Decision-maker demands flat monthly minimum unbacked by ADP × capture × ticket; ask for a 90-day capture-rate validation period instead.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7 — Decision-maker demands exclusive of allergen / dietary lines (no nuts, vegan-only, etc.) that cut planogram by &gt; 30%; capture rate will drop by the same magnitude.</w:t>
      </w:r>
    </w:p>
    <w:p>
      <w:pPr>
        <w:pStyle w:val="Heading1"/>
        <w:spacing w:after="150" w:before="300"/>
      </w:pPr>
      <w:r>
        <w:t xml:space="preserve">3. Site + install signals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8 — Cellular signal &lt; -110 dBm RSRP at proposed placement; telemetry + payment will be unreliable. Restructure as Wi-Fi VLAN or walk.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9 — No dedicated 120V/20A circuit (NEC 210.23(B)(2)) and decision-maker unwilling to fund electrical scope.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10 — Doorway &lt; 36 in or delivery path requires &gt; 2 stairs without freight elevator; cost-of-delivery exceeds first-year commission.</w:t>
      </w:r>
    </w:p>
    <w:p>
      <w:pPr>
        <w:pStyle w:val="Heading1"/>
        <w:spacing w:after="150" w:before="300"/>
      </w:pPr>
      <w:r>
        <w:t xml:space="preserve">4. Contract + behavior signals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11 — Decision-maker won't sign a written agreement, won't commit to a term, or demands month-to-month with 30-day termination at-will; route economics require term stability.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Signal 12 — Pattern of unpaid prior operator invoices, contested commissions, or chargebacks on prior installs (verify via NAMA / regional operator network if accessible).</w:t>
      </w:r>
    </w:p>
    <w:p>
      <w:pPr>
        <w:pStyle w:val="Heading1"/>
        <w:spacing w:after="150" w:before="300"/>
      </w:pPr>
      <w:r>
        <w:t xml:space="preserve">5. Restructuring patterns (keep the placement on different terms)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Restructure</w:t>
            </w:r>
          </w:p>
        </w:tc>
      </w:tr>
      <w:tr>
        <w:tc>
          <w:p>
            <w:r>
              <w:t xml:space="preserve">Low ADP (&lt; 75)</w:t>
            </w:r>
          </w:p>
        </w:tc>
        <w:tc>
          <w:p>
            <w:r>
              <w:t xml:space="preserve">Cashless-only mini-machine; no service truck dedication; route stop only when batched with adjacent placements.</w:t>
            </w:r>
          </w:p>
        </w:tc>
      </w:tr>
      <w:tr>
        <w:tc>
          <w:p>
            <w:r>
              <w:t xml:space="preserve">Hybrid workforce</w:t>
            </w:r>
          </w:p>
        </w:tc>
        <w:tc>
          <w:p>
            <w:r>
              <w:t xml:space="preserve">Telemetry-driven 1x/week service; planogram targets in-office days (typically Tue/Wed/Thu).</w:t>
            </w:r>
          </w:p>
        </w:tc>
      </w:tr>
      <w:tr>
        <w:tc>
          <w:p>
            <w:r>
              <w:t xml:space="preserve">Single-shift only</w:t>
            </w:r>
          </w:p>
        </w:tc>
        <w:tc>
          <w:p>
            <w:r>
              <w:t xml:space="preserve">Pull machine to day-only operating window; remove shift-3 inventory exposure.</w:t>
            </w:r>
          </w:p>
        </w:tc>
      </w:tr>
      <w:tr>
        <w:tc>
          <w:p>
            <w:r>
              <w:t xml:space="preserve">Competitor proximity</w:t>
            </w:r>
          </w:p>
        </w:tc>
        <w:tc>
          <w:p>
            <w:r>
              <w:t xml:space="preserve">Differentiate planogram (fresh + cold-chain vs shelf-stable); negotiate exclusivity zone.</w:t>
            </w:r>
          </w:p>
        </w:tc>
      </w:tr>
      <w:tr>
        <w:tc>
          <w:p>
            <w:r>
              <w:t xml:space="preserve">High-commission demand</w:t>
            </w:r>
          </w:p>
        </w:tc>
        <w:tc>
          <w:p>
            <w:r>
              <w:t xml:space="preserve">Tiered commission with floor that activates only above breakeven gross.</w:t>
            </w:r>
          </w:p>
        </w:tc>
      </w:tr>
      <w:tr>
        <w:tc>
          <w:p>
            <w:r>
              <w:t xml:space="preserve">Allergen-restricted planogram</w:t>
            </w:r>
          </w:p>
        </w:tc>
        <w:tc>
          <w:p>
            <w:r>
              <w:t xml:space="preserve">Adjusted capture-rate model; minimum gross floor; 90-day validation period.</w:t>
            </w:r>
          </w:p>
        </w:tc>
      </w:tr>
      <w:tr>
        <w:tc>
          <w:p>
            <w:r>
              <w:t xml:space="preserve">Weak cellular</w:t>
            </w:r>
          </w:p>
        </w:tc>
        <w:tc>
          <w:p>
            <w:r>
              <w:t xml:space="preserve">Operator-funded cellular booster or facility VLAN with PCI DSS v4.0.1 segmentation.</w:t>
            </w:r>
          </w:p>
        </w:tc>
      </w:tr>
      <w:tr>
        <w:tc>
          <w:p>
            <w:r>
              <w:t xml:space="preserve">No dedicated circuit</w:t>
            </w:r>
          </w:p>
        </w:tc>
        <w:tc>
          <w:p>
            <w:r>
              <w:t xml:space="preserve">Decision-maker funds NEC-compliant electrical scope before install.</w:t>
            </w:r>
          </w:p>
        </w:tc>
      </w:tr>
      <w:tr>
        <w:tc>
          <w:p>
            <w:r>
              <w:t xml:space="preserve">Difficult delivery path</w:t>
            </w:r>
          </w:p>
        </w:tc>
        <w:tc>
          <w:p>
            <w:r>
              <w:t xml:space="preserve">One-time piano-dolly delivery surcharge in contract; subsequent service uses smaller stock cart.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90-day validation period clauses</w:t>
      </w:r>
    </w:p>
    <w:p>
      <w:pPr>
        <w:spacing w:after="200"/>
      </w:pPr>
      <w:r>
        <w:t xml:space="preserve">Where you can't walk because the placement matches strategic route geometry, negotiate a 90-day validation period — written into the agreement — with the right to renegotiate or exit if economics do not match projection.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baseline established Day 1-30; per-shift velocity captured.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Day 60 review: actual vs projected gross; planogram refresh if capture rate &lt; 80% of projection.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Day 90 decision: continue at current terms, renegotiate commission + planogram, or 30-day exit.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Documentation: per-month gross + commission + service hours logged; share with decision-maker for transparency.</w:t>
      </w:r>
    </w:p>
    <w:p>
      <w:pPr>
        <w:pStyle w:val="Heading1"/>
        <w:spacing w:after="150" w:before="300"/>
      </w:pPr>
      <w:r>
        <w:t xml:space="preserve">7. Walk-away script (verbatim)</w:t>
      </w:r>
    </w:p>
    <w:p>
      <w:pPr>
        <w:spacing w:after="200"/>
      </w:pPr>
      <w:r>
        <w:t xml:space="preserve">When the placement fails 2+ signals and restructuring is not on the table, exit professionally. Reputation is the most valuable asset on a route.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"Thanks for the opportunity — based on the population profile and our economics, this placement falls below our minimum service threshold. I can recommend a colleague who runs smaller-format machines."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"Our minimum to deploy a refrigerated unit is $X/year in projected gross — your placement projects below that. Happy to revisit if conditions change."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"Without a dedicated NEC-compliant circuit, we can't guarantee uptime. If that changes we'd love to revisit."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Leave a card; document the conversation; circle back in 6 months if the placement profile changes.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or business advice. Verify each placement with site survey + 90-day economics model. LetUsVending is equipped to match operators to placements based on route economics and to coordinate transparent decision-maker conversations.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Location Deal-Breaker Checklist</dc:title>
  <dc:creator>LetUsVending</dc:creator>
  <dc:description>12 walk-away signals + restructuring patterns for owner-operators</dc:description>
  <cp:lastModifiedBy>Un-named</cp:lastModifiedBy>
  <cp:revision>1</cp:revision>
  <dcterms:created xsi:type="dcterms:W3CDTF">2026-05-17T13:18:01.438Z</dcterms:created>
  <dcterms:modified xsi:type="dcterms:W3CDTF">2026-05-17T13:18:01.439Z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