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K-12 / Higher-Ed Vending Economic Model + RFP Framework</w:t>
      </w:r>
    </w:p>
    <w:p>
      <w:pPr>
        <w:spacing w:after="200"/>
      </w:pPr>
      <w:r>
        <w:rPr>
          <w:i/>
          <w:iCs/>
          <w:color w:val="6B7280"/>
        </w:rPr>
        <w:t xml:space="preserve">Commission tiers, revenue projection, USDA Smart Snacks alignment, and transparency checklist</w:t>
      </w:r>
    </w:p>
    <w:p>
      <w:pPr>
        <w:spacing w:after="300"/>
      </w:pPr>
      <w:r>
        <w:t xml:space="preserve">School vending operates inside USDA 7 CFR 210.11 (Smart Snacks in School) and applicable state nutrition overlays. This framework gives school business officials, SFA directors, and procurement officers a verifiable cost model: commission tier benchmarks, revenue projection inputs, transparency requirements, and an RFP scoring rubric. Use at RFP issuance and at each annual contract renewal.</w:t>
      </w:r>
    </w:p>
    <w:p>
      <w:pPr>
        <w:pStyle w:val="Heading1"/>
        <w:spacing w:after="150" w:before="300"/>
      </w:pPr>
      <w:r>
        <w:t xml:space="preserve">1. Commission tier benchmarks (K-12 + higher-ed)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Annual gross sales (per machine)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Typical commission %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Common floor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&lt; $4,000</w:t>
            </w:r>
          </w:p>
        </w:tc>
        <w:tc>
          <w:p>
            <w:r>
              <w:t xml:space="preserve">0-10%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Below-threshold revenue; operator often subsidizes service.</w:t>
            </w:r>
          </w:p>
        </w:tc>
      </w:tr>
      <w:tr>
        <w:tc>
          <w:p>
            <w:r>
              <w:t xml:space="preserve">$4,000-$8,000</w:t>
            </w:r>
          </w:p>
        </w:tc>
        <w:tc>
          <w:p>
            <w:r>
              <w:t xml:space="preserve">10-20%</w:t>
            </w:r>
          </w:p>
        </w:tc>
        <w:tc>
          <w:p>
            <w:r>
              <w:t xml:space="preserve">$0-$200/yr</w:t>
            </w:r>
          </w:p>
        </w:tc>
        <w:tc>
          <w:p>
            <w:r>
              <w:t xml:space="preserve">Standard K-12 cafeteria adjacent placement.</w:t>
            </w:r>
          </w:p>
        </w:tc>
      </w:tr>
      <w:tr>
        <w:tc>
          <w:p>
            <w:r>
              <w:t xml:space="preserve">$8,000-$15,000</w:t>
            </w:r>
          </w:p>
        </w:tc>
        <w:tc>
          <w:p>
            <w:r>
              <w:t xml:space="preserve">20-30%</w:t>
            </w:r>
          </w:p>
        </w:tc>
        <w:tc>
          <w:p>
            <w:r>
              <w:t xml:space="preserve">$200-$500/yr</w:t>
            </w:r>
          </w:p>
        </w:tc>
        <w:tc>
          <w:p>
            <w:r>
              <w:t xml:space="preserve">Higher-ed common areas, athletic complexes.</w:t>
            </w:r>
          </w:p>
        </w:tc>
      </w:tr>
      <w:tr>
        <w:tc>
          <w:p>
            <w:r>
              <w:t xml:space="preserve">$15,000-$30,000</w:t>
            </w:r>
          </w:p>
        </w:tc>
        <w:tc>
          <w:p>
            <w:r>
              <w:t xml:space="preserve">25-35%</w:t>
            </w:r>
          </w:p>
        </w:tc>
        <w:tc>
          <w:p>
            <w:r>
              <w:t xml:space="preserve">$500-$1,500/yr</w:t>
            </w:r>
          </w:p>
        </w:tc>
        <w:tc>
          <w:p>
            <w:r>
              <w:t xml:space="preserve">Large higher-ed residence halls, student unions.</w:t>
            </w:r>
          </w:p>
        </w:tc>
      </w:tr>
      <w:tr>
        <w:tc>
          <w:p>
            <w:r>
              <w:t xml:space="preserve">&gt; $30,000</w:t>
            </w:r>
          </w:p>
        </w:tc>
        <w:tc>
          <w:p>
            <w:r>
              <w:t xml:space="preserve">30-40%+</w:t>
            </w:r>
          </w:p>
        </w:tc>
        <w:tc>
          <w:p>
            <w:r>
              <w:t xml:space="preserve">Negotiated</w:t>
            </w:r>
          </w:p>
        </w:tc>
        <w:tc>
          <w:p>
            <w:r>
              <w:t xml:space="preserve">Pouring-rights tier; bundle with naming + signage rights.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Revenue projection inputs</w:t>
      </w:r>
    </w:p>
    <w:p>
      <w:pPr>
        <w:spacing w:after="200"/>
      </w:pPr>
      <w:r>
        <w:t xml:space="preserve">Project gross sales from three inputs: average daily population at the placement, capture rate (% who transact in a typical week), and average ticket. Apply Smart Snacks SKU mix to each input.</w:t>
      </w:r>
    </w:p>
    <w:p>
      <w:pPr>
        <w:spacing w:after="120"/>
      </w:pPr>
      <w:r>
        <w:rPr>
          <w:b/>
          <w:bCs/>
          <w:color w:val="111827"/>
        </w:rPr>
        <w:t xml:space="preserve">Average daily population (ADP): </w:t>
      </w:r>
      <w:r>
        <w:t xml:space="preserve">Student enrollment at the building × attendance rate (typical 92-96%) + staff headcount + visitor estimate.</w:t>
      </w:r>
    </w:p>
    <w:p>
      <w:pPr>
        <w:spacing w:after="120"/>
      </w:pPr>
      <w:r>
        <w:rPr>
          <w:b/>
          <w:bCs/>
          <w:color w:val="111827"/>
        </w:rPr>
        <w:t xml:space="preserve">Capture rate: </w:t>
      </w:r>
      <w:r>
        <w:t xml:space="preserve">K-5: 5-10%. 6-8: 15-25%. 9-12: 20-35%. Higher-ed common area: 30-50%. Athletic / event: variable; model separately.</w:t>
      </w:r>
    </w:p>
    <w:p>
      <w:pPr>
        <w:spacing w:after="120"/>
      </w:pPr>
      <w:r>
        <w:rPr>
          <w:b/>
          <w:bCs/>
          <w:color w:val="111827"/>
        </w:rPr>
        <w:t xml:space="preserve">Average ticket: </w:t>
      </w:r>
      <w:r>
        <w:t xml:space="preserve">$1.50-$2.25 (snack), $1.75-$2.75 (beverage), $4-$8 (fresh food / meal kit).</w:t>
      </w:r>
    </w:p>
    <w:p>
      <w:pPr>
        <w:spacing w:after="120"/>
      </w:pPr>
      <w:r>
        <w:rPr>
          <w:b/>
          <w:bCs/>
          <w:color w:val="111827"/>
        </w:rPr>
        <w:t xml:space="preserve">Operating days: </w:t>
      </w:r>
      <w:r>
        <w:t xml:space="preserve">K-12: 175-180 instructional days plus summer/program days. Higher-ed: 200-260 days depending on residence hall vs academic-only placement.</w:t>
      </w:r>
    </w:p>
    <w:p>
      <w:pPr>
        <w:spacing w:after="120"/>
      </w:pPr>
      <w:r>
        <w:rPr>
          <w:b/>
          <w:bCs/>
          <w:color w:val="111827"/>
        </w:rPr>
        <w:t xml:space="preserve">Sample projection: </w:t>
      </w:r>
      <w:r>
        <w:t xml:space="preserve">ADP 600 × capture 20% × $2.00 × 180 days = $43,200/yr across all machines at the site.</w:t>
      </w:r>
    </w:p>
    <w:p>
      <w:pPr>
        <w:pStyle w:val="Heading1"/>
        <w:spacing w:after="150" w:before="300"/>
      </w:pPr>
      <w:r>
        <w:t xml:space="preserve">3. USDA Smart Snacks compliance — 7 CFR 210.11</w:t>
      </w:r>
    </w:p>
    <w:p>
      <w:pPr>
        <w:spacing w:after="200"/>
      </w:pPr>
      <w:r>
        <w:t xml:space="preserve">All SKUs sold to students during the school day (midnight to 30 minutes after the last bell) at K-12 schools participating in NSLP must meet Smart Snacks nutrition standards. SFA Administrative Review verifies vending compliance.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Calories: snack/side ≤ 200 cal; entrée ≤ 350 cal.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Sodium: snack ≤ 200 mg; entrée ≤ 480 mg (effective SY 2022-23 onward).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Total fat ≤ 35% calories; saturated fat &lt; 10% calories; trans fat 0 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Total sugar ≤ 35% by weight.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Beverages elementary: water (no size limit), 8 oz milk (low-fat/fat-free), 8 oz 100% juice.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Beverages middle: same as elementary + 12 oz portions.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Beverages high school: water, 12 oz milk, 12 oz 100% juice, 20 oz calorie-free flavored water, 12 oz ≤ 60 cal/12 oz.</w:t>
      </w:r>
    </w:p>
    <w:p>
      <w:pPr>
        <w:pStyle w:val="Heading1"/>
        <w:spacing w:after="150" w:before="300"/>
      </w:pPr>
      <w:r>
        <w:t xml:space="preserve">4. Cost transparency checklist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provides itemized SKU cost (wholesale) + retail price + commission calculation per machine per month.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dashboard read-access for SFA director and business office (Cantaloupe Seed, Nayax MoMa, 365 Retail Markets ADM, or equivalent).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reconciled commission payment with audit-grade detail (per-machine, per-SKU velocity, refunds, voids).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independent revenue audit available on request; cost borne by operator above defined threshold.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Pricing changes notified 30 days in advance; SFA approval required to maintain Smart Snacks margin parity.</w:t>
      </w:r>
    </w:p>
    <w:p>
      <w:pPr>
        <w:pStyle w:val="Heading1"/>
        <w:spacing w:after="150" w:before="300"/>
      </w:pPr>
      <w:r>
        <w:t xml:space="preserve">5. RFP scoring rubric (100-point baseline)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p>
            <w:r>
              <w:t xml:space="preserve">Smart Snacks attestation + SKU list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Smart Snacks Product Calculator screenshots + signed attestation.</w:t>
            </w:r>
          </w:p>
        </w:tc>
      </w:tr>
      <w:tr>
        <w:tc>
          <w:p>
            <w:r>
              <w:t xml:space="preserve">Commission structure + revenue model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Tiered % with floor; sample projection using ADP.</w:t>
            </w:r>
          </w:p>
        </w:tc>
      </w:tr>
      <w:tr>
        <w:tc>
          <w:p>
            <w:r>
              <w:t xml:space="preserve">Telemetry + transparency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Read-access demo + SLA documentation.</w:t>
            </w:r>
          </w:p>
        </w:tc>
      </w:tr>
      <w:tr>
        <w:tc>
          <w:p>
            <w:r>
              <w:t xml:space="preserve">Service SLA + refund procedure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&lt;24 hr response for outage; refund within 5 business days.</w:t>
            </w:r>
          </w:p>
        </w:tc>
      </w:tr>
      <w:tr>
        <w:tc>
          <w:p>
            <w:r>
              <w:t xml:space="preserve">ADA + accessibility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Written attestation + VPAT 2.5.</w:t>
            </w:r>
          </w:p>
        </w:tc>
      </w:tr>
      <w:tr>
        <w:tc>
          <w:p>
            <w:r>
              <w:t xml:space="preserve">References from comparable districts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Three references with similar enrollment band.</w:t>
            </w:r>
          </w:p>
        </w:tc>
      </w:tr>
      <w:tr>
        <w:tc>
          <w:p>
            <w:r>
              <w:t xml:space="preserve">Insurance + bonding + W-9 + background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$2M GL minimum + criminal background per state statute.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Annual review cadence</w:t>
      </w:r>
    </w:p>
    <w:p>
      <w:pPr>
        <w:spacing w:after="60" w:before="120"/>
      </w:pPr>
      <w:r>
        <w:rPr>
          <w:b/>
          <w:bCs/>
        </w:rPr>
        <w:t xml:space="preserve">1. Pre-school-year (July-August)</w:t>
      </w:r>
    </w:p>
    <w:p>
      <w:pPr>
        <w:spacing w:after="120"/>
      </w:pPr>
      <w:r>
        <w:t xml:space="preserve">Refresh planogram, verify Smart Snacks SKU list, reconcile prior-year commission, set current-year revenue target.</w:t>
      </w:r>
    </w:p>
    <w:p>
      <w:pPr>
        <w:spacing w:after="60" w:before="120"/>
      </w:pPr>
      <w:r>
        <w:rPr>
          <w:b/>
          <w:bCs/>
        </w:rPr>
        <w:t xml:space="preserve">2. Mid-year (December-January)</w:t>
      </w:r>
    </w:p>
    <w:p>
      <w:pPr>
        <w:spacing w:after="120"/>
      </w:pPr>
      <w:r>
        <w:t xml:space="preserve">Telemetry review, capture-rate vs target, refund volume, planogram refresh for spring.</w:t>
      </w:r>
    </w:p>
    <w:p>
      <w:pPr>
        <w:spacing w:after="60" w:before="120"/>
      </w:pPr>
      <w:r>
        <w:rPr>
          <w:b/>
          <w:bCs/>
        </w:rPr>
        <w:t xml:space="preserve">3. End-of-year (May-June)</w:t>
      </w:r>
    </w:p>
    <w:p>
      <w:pPr>
        <w:spacing w:after="120"/>
      </w:pPr>
      <w:r>
        <w:t xml:space="preserve">Full annual reconciliation, audit-grade report, SFA Administrative Review prep, contract renewal decision.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legal or fiscal advice. Verify Smart Snacks status with the SFA director; confirm commission treatment per district fiscal code and state procurement rules. LetUsVending is equipped to coordinate Smart-Snacks-aligned operators for K-12 and higher-ed placements.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K-12 / Higher-Ed Vending Economic Model + RFP Framework</dc:title>
  <dc:creator>LetUsVending</dc:creator>
  <dc:description>Commission tiers, revenue projection, USDA Smart Snacks alignment, and transparency checklist</dc:description>
  <cp:lastModifiedBy>Un-named</cp:lastModifiedBy>
  <cp:revision>1</cp:revision>
  <dcterms:created xsi:type="dcterms:W3CDTF">2026-05-17T13:18:01.778Z</dcterms:created>
  <dcterms:modified xsi:type="dcterms:W3CDTF">2026-05-17T13:18:01.779Z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