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Custom-Branded Venue Vending RFP Template</w:t>
      </w:r>
    </w:p>
    <w:p>
      <w:pPr>
        <w:spacing w:after="200"/>
      </w:pPr>
      <w:r>
        <w:rPr>
          <w:i/>
          <w:iCs/>
          <w:color w:val="6B7280"/>
        </w:rPr>
        <w:t xml:space="preserve">Six-category execution methods, design approval cadence, refresh cycle planning, and operator scoring matrix</w:t>
      </w:r>
    </w:p>
    <w:p>
      <w:pPr>
        <w:spacing w:after="300"/>
      </w:pPr>
      <w:r>
        <w:t xml:space="preserve">Use this RFP template to solicit branded-vending bids from operators that can deliver venue-grade visual treatment across full wraps, partial graphics, illuminated faces, digital displays, sponsor co-branding, and seasonal refreshes. Each section maps to a measurable specification your operator can attest to and that procurement can score.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Venue type: </w:t>
      </w:r>
      <w:r>
        <w:t xml:space="preserve">(stadium / arena / theater / convention center / amphitheater — specify capacity and event mix)</w:t>
      </w:r>
    </w:p>
    <w:p>
      <w:pPr>
        <w:spacing w:after="120"/>
      </w:pPr>
      <w:r>
        <w:rPr>
          <w:b/>
          <w:bCs/>
          <w:color w:val="111827"/>
        </w:rPr>
        <w:t xml:space="preserve">Machine count + locations: </w:t>
      </w:r>
      <w:r>
        <w:t xml:space="preserve">(specify count by zone: main concourse, club level, VIP, BOH, exterior). Capability framing only — describe footprint requirements rather than naming anchor sites.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Initial term (typically 3-5 years) with annual brand-refresh milestone reviews.</w:t>
      </w:r>
    </w:p>
    <w:p>
      <w:pPr>
        <w:spacing w:after="120"/>
      </w:pPr>
      <w:r>
        <w:rPr>
          <w:b/>
          <w:bCs/>
          <w:color w:val="111827"/>
        </w:rPr>
        <w:t xml:space="preserve">Branding scope: </w:t>
      </w:r>
      <w:r>
        <w:t xml:space="preserve">Full wrap, partial graphics, illuminated face, digital sidekick display, sponsor co-brand, seasonal refresh — operator to scope each category in their response.</w:t>
      </w:r>
    </w:p>
    <w:p>
      <w:pPr>
        <w:pStyle w:val="Heading1"/>
        <w:spacing w:after="150" w:before="300"/>
      </w:pPr>
      <w:r>
        <w:t xml:space="preserve">2. Six-category execution methods (operator scope)</w:t>
      </w:r>
    </w:p>
    <w:p>
      <w:pPr>
        <w:spacing w:after="200"/>
      </w:pPr>
      <w:r>
        <w:t xml:space="preserve">Operators must demonstrate capability across all six categories or clearly state which they subcontract. Reference NEMA 250 enclosure ratings and UL 751 (vending machines) compliance for any modified equipment.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Approval lead time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Refresh cadence</w:t>
            </w:r>
          </w:p>
        </w:tc>
      </w:tr>
      <w:tr>
        <w:tc>
          <w:p>
            <w:r>
              <w:t xml:space="preserve">1. Full-wrap vinyl</w:t>
            </w:r>
          </w:p>
        </w:tc>
        <w:tc>
          <w:p>
            <w:r>
              <w:t xml:space="preserve">3M IJ180mC / Avery MPI 1105 cast vinyl, 7-year outdoor durability, laminated overlay</w:t>
            </w:r>
          </w:p>
        </w:tc>
        <w:tc>
          <w:p>
            <w:r>
              <w:t xml:space="preserve">10-14 business days from final art</w:t>
            </w:r>
          </w:p>
        </w:tc>
        <w:tc>
          <w:p>
            <w:r>
              <w:t xml:space="preserve">Annual refresh or per sponsor cycle</w:t>
            </w:r>
          </w:p>
        </w:tc>
      </w:tr>
      <w:tr>
        <w:tc>
          <w:p>
            <w:r>
              <w:t xml:space="preserve">2. Partial graphics + decals</w:t>
            </w:r>
          </w:p>
        </w:tc>
        <w:tc>
          <w:p>
            <w:r>
              <w:t xml:space="preserve">Mid-grade 5-year vinyl on machine face and side panels; back panels left OEM</w:t>
            </w:r>
          </w:p>
        </w:tc>
        <w:tc>
          <w:p>
            <w:r>
              <w:t xml:space="preserve">5-7 business days</w:t>
            </w:r>
          </w:p>
        </w:tc>
        <w:tc>
          <w:p>
            <w:r>
              <w:t xml:space="preserve">Semi-annual</w:t>
            </w:r>
          </w:p>
        </w:tc>
      </w:tr>
      <w:tr>
        <w:tc>
          <w:p>
            <w:r>
              <w:t xml:space="preserve">3. Illuminated front face</w:t>
            </w:r>
          </w:p>
        </w:tc>
        <w:tc>
          <w:p>
            <w:r>
              <w:t xml:space="preserve">LED-backlit translucent vinyl with diffuser; ENERGY STAR compliant lighting</w:t>
            </w:r>
          </w:p>
        </w:tc>
        <w:tc>
          <w:p>
            <w:r>
              <w:t xml:space="preserve">3-4 weeks (custom fabrication)</w:t>
            </w:r>
          </w:p>
        </w:tc>
        <w:tc>
          <w:p>
            <w:r>
              <w:t xml:space="preserve">Per sponsor cycle (typically 12-24 months)</w:t>
            </w:r>
          </w:p>
        </w:tc>
      </w:tr>
      <w:tr>
        <w:tc>
          <w:p>
            <w:r>
              <w:t xml:space="preserve">4. Digital sidekick display</w:t>
            </w:r>
          </w:p>
        </w:tc>
        <w:tc>
          <w:p>
            <w:r>
              <w:t xml:space="preserve">21"-32" commercial-grade display, CMS-driven; UL 60950 listed</w:t>
            </w:r>
          </w:p>
        </w:tc>
        <w:tc>
          <w:p>
            <w:r>
              <w:t xml:space="preserve">4-6 weeks (hardware lead)</w:t>
            </w:r>
          </w:p>
        </w:tc>
        <w:tc>
          <w:p>
            <w:r>
              <w:t xml:space="preserve">Content refresh continuous; hardware 5-year</w:t>
            </w:r>
          </w:p>
        </w:tc>
      </w:tr>
      <w:tr>
        <w:tc>
          <w:p>
            <w:r>
              <w:t xml:space="preserve">5. Sponsor co-brand</w:t>
            </w:r>
          </w:p>
        </w:tc>
        <w:tc>
          <w:p>
            <w:r>
              <w:t xml:space="preserve">Tiered logo placement matrix (primary / secondary / tertiary) with art-board guidelines</w:t>
            </w:r>
          </w:p>
        </w:tc>
        <w:tc>
          <w:p>
            <w:r>
              <w:t xml:space="preserve">2-3 weeks after sponsor contract</w:t>
            </w:r>
          </w:p>
        </w:tc>
        <w:tc>
          <w:p>
            <w:r>
              <w:t xml:space="preserve">Per sponsor activation</w:t>
            </w:r>
          </w:p>
        </w:tc>
      </w:tr>
      <w:tr>
        <w:tc>
          <w:p>
            <w:r>
              <w:t xml:space="preserve">6. Seasonal/event refresh</w:t>
            </w:r>
          </w:p>
        </w:tc>
        <w:tc>
          <w:p>
            <w:r>
              <w:t xml:space="preserve">Removable static-cling or quick-cure adhesive overlays for 30-90 day campaigns</w:t>
            </w:r>
          </w:p>
        </w:tc>
        <w:tc>
          <w:p>
            <w:r>
              <w:t xml:space="preserve">5-10 business days</w:t>
            </w:r>
          </w:p>
        </w:tc>
        <w:tc>
          <w:p>
            <w:r>
              <w:t xml:space="preserve">3-6 cycles per year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Design approval cadence</w:t>
      </w:r>
    </w:p>
    <w:p>
      <w:pPr>
        <w:spacing w:after="60" w:before="120"/>
      </w:pPr>
      <w:r>
        <w:rPr>
          <w:b/>
          <w:bCs/>
        </w:rPr>
        <w:t xml:space="preserve">1. Concept boards (T-30 days)</w:t>
      </w:r>
    </w:p>
    <w:p>
      <w:pPr>
        <w:spacing w:after="120"/>
      </w:pPr>
      <w:r>
        <w:t xml:space="preserve">Operator submits 2-3 concept directions; venue marketing reviews against brand standards manual and any sponsor obligations. Reference internal style guide version number on every submission.</w:t>
      </w:r>
    </w:p>
    <w:p>
      <w:pPr>
        <w:spacing w:after="60" w:before="120"/>
      </w:pPr>
      <w:r>
        <w:rPr>
          <w:b/>
          <w:bCs/>
        </w:rPr>
        <w:t xml:space="preserve">2. Production proof (T-14 days)</w:t>
      </w:r>
    </w:p>
    <w:p>
      <w:pPr>
        <w:spacing w:after="120"/>
      </w:pPr>
      <w:r>
        <w:t xml:space="preserve">Full-scale color-accurate proof on actual substrate (vinyl, backlit material). Venue signs off on color (Pantone match within Delta-E ≤ 3), placement, and legibility.</w:t>
      </w:r>
    </w:p>
    <w:p>
      <w:pPr>
        <w:spacing w:after="60" w:before="120"/>
      </w:pPr>
      <w:r>
        <w:rPr>
          <w:b/>
          <w:bCs/>
        </w:rPr>
        <w:t xml:space="preserve">3. Pre-install QA (T-3 days)</w:t>
      </w:r>
    </w:p>
    <w:p>
      <w:pPr>
        <w:spacing w:after="120"/>
      </w:pPr>
      <w:r>
        <w:t xml:space="preserve">Operator confirms install crew, removal of prior wrap, surface prep per 3M Recommended Application Procedures, and site logistics with venue ops.</w:t>
      </w:r>
    </w:p>
    <w:p>
      <w:pPr>
        <w:spacing w:after="60" w:before="120"/>
      </w:pPr>
      <w:r>
        <w:rPr>
          <w:b/>
          <w:bCs/>
        </w:rPr>
        <w:t xml:space="preserve">4. Install + sign-off (T-0)</w:t>
      </w:r>
    </w:p>
    <w:p>
      <w:pPr>
        <w:spacing w:after="120"/>
      </w:pPr>
      <w:r>
        <w:t xml:space="preserve">Install supervised by venue marketing rep or designee. Photo documentation of all four sides; sign-off sheet retained for the duration of contract plus 3 years.</w:t>
      </w:r>
    </w:p>
    <w:p>
      <w:pPr>
        <w:pStyle w:val="Heading1"/>
        <w:spacing w:after="150" w:before="300"/>
      </w:pPr>
      <w:r>
        <w:t xml:space="preserve">4. Refresh cycle planning</w:t>
      </w:r>
    </w:p>
    <w:p>
      <w:pPr>
        <w:spacing w:after="200"/>
      </w:pPr>
      <w:r>
        <w:t xml:space="preserve">Build the refresh calendar against the venue's event mix, sponsor obligations, and seasonal moments. Operator commits to the refresh count in their bid; under-delivery triggers SLA credit per Section 7.</w:t>
      </w:r>
    </w:p>
    <w:p>
      <w:pPr>
        <w:spacing w:after="120"/>
      </w:pPr>
      <w:r>
        <w:rPr>
          <w:b/>
          <w:bCs/>
          <w:color w:val="111827"/>
        </w:rPr>
        <w:t xml:space="preserve">Tier-A wraps (full): </w:t>
      </w:r>
      <w:r>
        <w:t xml:space="preserve">1-2 refreshes per year; typically aligned to season opener and post-season.</w:t>
      </w:r>
    </w:p>
    <w:p>
      <w:pPr>
        <w:spacing w:after="120"/>
      </w:pPr>
      <w:r>
        <w:rPr>
          <w:b/>
          <w:bCs/>
          <w:color w:val="111827"/>
        </w:rPr>
        <w:t xml:space="preserve">Tier-B partial graphics: </w:t>
      </w:r>
      <w:r>
        <w:t xml:space="preserve">2-3 refreshes per year; aligned to sponsor activation windows.</w:t>
      </w:r>
    </w:p>
    <w:p>
      <w:pPr>
        <w:spacing w:after="120"/>
      </w:pPr>
      <w:r>
        <w:rPr>
          <w:b/>
          <w:bCs/>
          <w:color w:val="111827"/>
        </w:rPr>
        <w:t xml:space="preserve">Tier-C seasonal overlays: </w:t>
      </w:r>
      <w:r>
        <w:t xml:space="preserve">3-6 refreshes per year; holiday, playoff, residency, and special-event tie-ins.</w:t>
      </w:r>
    </w:p>
    <w:p>
      <w:pPr>
        <w:spacing w:after="120"/>
      </w:pPr>
      <w:r>
        <w:rPr>
          <w:b/>
          <w:bCs/>
          <w:color w:val="111827"/>
        </w:rPr>
        <w:t xml:space="preserve">Digital content: </w:t>
      </w:r>
      <w:r>
        <w:t xml:space="preserve">Continuous (CMS push); operator provides scheduling tool access to venue marketing.</w:t>
      </w:r>
    </w:p>
    <w:p>
      <w:pPr>
        <w:pStyle w:val="Heading1"/>
        <w:spacing w:after="150" w:before="300"/>
      </w:pPr>
      <w:r>
        <w:t xml:space="preserve">5. Operator capability matrix (scoring)</w:t>
      </w:r>
    </w:p>
    <w:p>
      <w:pPr>
        <w:spacing w:after="200"/>
      </w:pPr>
      <w:r>
        <w:t xml:space="preserve">Procurement scores each operator on the following criteria; total weighted score determines award. Adjust weights to your venue's priorities.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Evidence required</w:t>
            </w:r>
          </w:p>
        </w:tc>
      </w:tr>
      <w:tr>
        <w:tc>
          <w:p>
            <w:r>
              <w:t xml:space="preserve">In-house design capability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Portfolio of 5+ comparable venue installs; capability framing acceptable — operator demonstrates skill set without naming specific anchor sites</w:t>
            </w:r>
          </w:p>
        </w:tc>
      </w:tr>
      <w:tr>
        <w:tc>
          <w:p>
            <w:r>
              <w:t xml:space="preserve">Vinyl / wrap install crew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3M Preferred Installer credential or equivalent; W-2 vs subcontract disclosed</w:t>
            </w:r>
          </w:p>
        </w:tc>
      </w:tr>
      <w:tr>
        <w:tc>
          <w:p>
            <w:r>
              <w:t xml:space="preserve">Digital signage management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CMS platform demo (Stratacache, BrightSign, Enplug, or equivalent)</w:t>
            </w:r>
          </w:p>
        </w:tc>
      </w:tr>
      <w:tr>
        <w:tc>
          <w:p>
            <w:r>
              <w:t xml:space="preserve">Refresh turnaround SLA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Operator commits to lead time per category in writing; 10% SLA credit clause</w:t>
            </w:r>
          </w:p>
        </w:tc>
      </w:tr>
      <w:tr>
        <w:tc>
          <w:p>
            <w:r>
              <w:t xml:space="preserve">Sponsor integration experience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Sample tiered-logo matrix and 2 redacted sponsor agreements</w:t>
            </w:r>
          </w:p>
        </w:tc>
      </w:tr>
      <w:tr>
        <w:tc>
          <w:p>
            <w:r>
              <w:t xml:space="preserve">Pricing transparency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Line-item breakdown: design / production / install / removal / refresh</w:t>
            </w:r>
          </w:p>
        </w:tc>
      </w:tr>
      <w:tr>
        <w:tc>
          <w:p>
            <w:r>
              <w:t xml:space="preserve">Reporting + analytics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Sample monthly report: install photo log, refresh log, dwell-time analytics for digital sidekicks</w:t>
            </w:r>
          </w:p>
        </w:tc>
      </w:tr>
      <w:tr>
        <w:tc>
          <w:p>
            <w:r>
              <w:t xml:space="preserve">Insurance + bonding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$2M GL minimum, $1M auto, $1M workers comp; bondable on contracts ≥ $250K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Required attachments (operator response)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Portfolio: 5+ comparable venue installs (capability framing acceptable; do not require operator to claim work at named anchor venues).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art-board guidelines and brand-compliance checklist.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install + refresh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Pricing schedule per Section 5, Criterion 6.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 naming venue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venue marketing or procurement contacts (last 24 months).</w:t>
      </w:r>
    </w:p>
    <w:p>
      <w:pPr>
        <w:pStyle w:val="Heading1"/>
        <w:spacing w:after="150" w:before="300"/>
      </w:pPr>
      <w:r>
        <w:t xml:space="preserve">7. SLA + credits</w:t>
      </w:r>
    </w:p>
    <w:p>
      <w:pPr>
        <w:spacing w:after="120"/>
      </w:pPr>
      <w:r>
        <w:rPr>
          <w:b/>
          <w:bCs/>
          <w:color w:val="111827"/>
        </w:rPr>
        <w:t xml:space="preserve">On-time install SLA: </w:t>
      </w:r>
      <w:r>
        <w:t xml:space="preserve">100% of installs delivered on agreed install date. Each day late = 2% credit against that install line item.</w:t>
      </w:r>
    </w:p>
    <w:p>
      <w:pPr>
        <w:spacing w:after="120"/>
      </w:pPr>
      <w:r>
        <w:rPr>
          <w:b/>
          <w:bCs/>
          <w:color w:val="111827"/>
        </w:rPr>
        <w:t xml:space="preserve">Color-match SLA: </w:t>
      </w:r>
      <w:r>
        <w:t xml:space="preserve">Delta-E ≤ 3 against Pantone reference. Re-print at operator cost if exceeded.</w:t>
      </w:r>
    </w:p>
    <w:p>
      <w:pPr>
        <w:spacing w:after="120"/>
      </w:pPr>
      <w:r>
        <w:rPr>
          <w:b/>
          <w:bCs/>
          <w:color w:val="111827"/>
        </w:rPr>
        <w:t xml:space="preserve">Refresh-cadence SLA: </w:t>
      </w:r>
      <w:r>
        <w:t xml:space="preserve">Operator delivers committed refresh count per Section 4. Missed refresh = full credit for that cycle.</w:t>
      </w:r>
    </w:p>
    <w:p>
      <w:pPr>
        <w:spacing w:after="120"/>
      </w:pPr>
      <w:r>
        <w:rPr>
          <w:b/>
          <w:bCs/>
          <w:color w:val="111827"/>
        </w:rPr>
        <w:t xml:space="preserve">Damage repair SLA: </w:t>
      </w:r>
      <w:r>
        <w:t xml:space="preserve">Vandalism / damage repair within 7 business days of report (10 days for full-wrap). Photo-documented.</w:t>
      </w:r>
    </w:p>
    <w:p>
      <w:pPr>
        <w:pStyle w:val="Heading1"/>
        <w:spacing w:after="150" w:before="300"/>
      </w:pPr>
      <w:r>
        <w:t xml:space="preserve">8.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response, electronic submission via procurement portal.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 days from RFP issue)</w:t>
      </w:r>
    </w:p>
    <w:p>
      <w:pPr>
        <w:spacing w:after="120"/>
      </w:pPr>
      <w:r>
        <w:rPr>
          <w:b/>
          <w:bCs/>
          <w:color w:val="111827"/>
        </w:rPr>
        <w:t xml:space="preserve">Q&amp;A window: </w:t>
      </w:r>
      <w:r>
        <w:t xml:space="preserve">10 business days after RFP issue; all questions answered in writing and distributed to all bidders.</w:t>
      </w:r>
    </w:p>
    <w:p>
      <w:pPr>
        <w:spacing w:after="120"/>
      </w:pPr>
      <w:r>
        <w:rPr>
          <w:b/>
          <w:bCs/>
          <w:color w:val="111827"/>
        </w:rPr>
        <w:t xml:space="preserve">Award notification: </w:t>
      </w:r>
      <w:r>
        <w:t xml:space="preserve">(specify — typically 45-60 days after submission close)</w:t>
      </w:r>
    </w:p>
    <w:p>
      <w:pPr>
        <w:spacing w:before="400"/>
      </w:pPr>
      <w:r>
        <w:rPr>
          <w:i/>
          <w:iCs/>
          <w:color w:val="6B7280"/>
        </w:rPr>
        <w:t xml:space="preserve">This template is informational; it is not legal advice. Have your venue's procurement counsel review before issue. Capability framing throughout — operators describe what they are equipped to deliver rather than claiming work performed at named anchor sites.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Custom-Branded Venue Vending RFP Template</dc:title>
  <dc:creator>LetUsVending</dc:creator>
  <dc:description>Six-category execution methods, design approval cadence, refresh cycle planning, and operator scoring matrix</dc:description>
  <cp:lastModifiedBy>Un-named</cp:lastModifiedBy>
  <cp:revision>1</cp:revision>
  <dcterms:created xsi:type="dcterms:W3CDTF">2026-05-17T13:18:01.857Z</dcterms:created>
  <dcterms:modified xsi:type="dcterms:W3CDTF">2026-05-17T13:18:01.858Z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