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Theme Park Custom Vending Framework</w:t>
      </w:r>
    </w:p>
    <w:p>
      <w:pPr>
        <w:spacing w:after="200"/>
      </w:pPr>
      <w:r>
        <w:rPr>
          <w:i/>
          <w:iCs/>
          <w:color w:val="6B7280"/>
        </w:rPr>
        <w:t xml:space="preserve">Themed equipment spec, weather-hardened hardware, park-app integration, surge calendar</w:t>
      </w:r>
    </w:p>
    <w:p>
      <w:pPr>
        <w:spacing w:after="300"/>
      </w:pPr>
      <w:r>
        <w:t xml:space="preserve">Use this framework to specify, install, and operate a custom-themed vending program inside a regional or destination theme park. Each section is capability-framed and references NSF/ANSI 7 + 25, ASTM F2291 (amusement-ride safety adjacencies), NEC + NEMA enclosure ratings, FDA Food Code 2022, ADA Section 308, and FTC Endorsement Guides where any product claim is made. Operator capability should be confirmed in writing before contract execution.</w:t>
      </w:r>
    </w:p>
    <w:p>
      <w:pPr>
        <w:pStyle w:val="Heading1"/>
        <w:spacing w:after="150" w:before="300"/>
      </w:pPr>
      <w:r>
        <w:t xml:space="preserve">1. Themed equipment specification</w:t>
      </w:r>
    </w:p>
    <w:p>
      <w:pPr>
        <w:spacing w:after="200"/>
      </w:pPr>
      <w:r>
        <w:t xml:space="preserve">Themed vending is not a standard combo unit with a sticker. Themed cabinetry, themed product trays, and themed lighting are part of the experience. The specification below covers a typical attraction-adjacent placement.</w:t>
      </w:r>
    </w:p>
    <w:p>
      <w:pPr>
        <w:spacing w:after="120"/>
      </w:pPr>
      <w:r>
        <w:rPr>
          <w:b/>
          <w:bCs/>
          <w:color w:val="111827"/>
        </w:rPr>
        <w:t xml:space="preserve">Cabinet construction: </w:t>
      </w:r>
      <w:r>
        <w:t xml:space="preserve">Custom-fabricated FRP or rotomolded shell over standard NSF/ANSI 7 vending chassis; rated to NEMA 4 outdoor or NEMA 3R covered-outdoor. Cabinet must not interfere with vending tray, refrigeration vent, or service door access.</w:t>
      </w:r>
    </w:p>
    <w:p>
      <w:pPr>
        <w:spacing w:after="120"/>
      </w:pPr>
      <w:r>
        <w:rPr>
          <w:b/>
          <w:bCs/>
          <w:color w:val="111827"/>
        </w:rPr>
        <w:t xml:space="preserve">Themed graphics: </w:t>
      </w:r>
      <w:r>
        <w:t xml:space="preserve">Park-IP-approved graphic wrap (3M IJ180 or comparable, 7-year outdoor warranty); UV-stable inks; replaceable per IP rotation cadence.</w:t>
      </w:r>
    </w:p>
    <w:p>
      <w:pPr>
        <w:spacing w:after="120"/>
      </w:pPr>
      <w:r>
        <w:rPr>
          <w:b/>
          <w:bCs/>
          <w:color w:val="111827"/>
        </w:rPr>
        <w:t xml:space="preserve">Lighting: </w:t>
      </w:r>
      <w:r>
        <w:t xml:space="preserve">LED interior + cabinet wash, controllable via park's lighting bus where feasible (DMX 512 or 0-10V); 10+ year LED life rating.</w:t>
      </w:r>
    </w:p>
    <w:p>
      <w:pPr>
        <w:spacing w:after="120"/>
      </w:pPr>
      <w:r>
        <w:rPr>
          <w:b/>
          <w:bCs/>
          <w:color w:val="111827"/>
        </w:rPr>
        <w:t xml:space="preserve">Themed audio (optional): </w:t>
      </w:r>
      <w:r>
        <w:t xml:space="preserve">Compressor-isolated low-volume audio cue on transaction completion; aligned with park audio policy + ADA accessibility (no audio-only required interaction).</w:t>
      </w:r>
    </w:p>
    <w:p>
      <w:pPr>
        <w:spacing w:after="120"/>
      </w:pPr>
      <w:r>
        <w:rPr>
          <w:b/>
          <w:bCs/>
          <w:color w:val="111827"/>
        </w:rPr>
        <w:t xml:space="preserve">ADA compliance: </w:t>
      </w:r>
      <w:r>
        <w:t xml:space="preserve">Themed shell must not violate ADA Section 308 reach range (15-48 in) or 305 clear floor space (30x48 in); operating force ≤ 5 lbf per 309.4.</w:t>
      </w:r>
    </w:p>
    <w:p>
      <w:pPr>
        <w:pStyle w:val="Heading1"/>
        <w:spacing w:after="150" w:before="300"/>
      </w:pPr>
      <w:r>
        <w:t xml:space="preserve">2. Weather-hardened hardware matrix</w:t>
      </w:r>
    </w:p>
    <w:p>
      <w:pPr>
        <w:spacing w:after="200"/>
      </w:pPr>
      <w:r>
        <w:t xml:space="preserve">Park placements are outdoor, partially sheltered, or seasonal. Hardware must match the placement environment.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Placement type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Enclosure rating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Refrigeration design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Connectivity</w:t>
            </w:r>
          </w:p>
        </w:tc>
      </w:tr>
      <w:tr>
        <w:tc>
          <w:p>
            <w:r>
              <w:t xml:space="preserve">Outdoor exposed (sun + rain)</w:t>
            </w:r>
          </w:p>
        </w:tc>
        <w:tc>
          <w:p>
            <w:r>
              <w:t xml:space="preserve">NEMA 4X stainless or coated steel</w:t>
            </w:r>
          </w:p>
        </w:tc>
        <w:tc>
          <w:p>
            <w:r>
              <w:t xml:space="preserve">Hot-climate condenser (ambient 95-110°F rated)</w:t>
            </w:r>
          </w:p>
        </w:tc>
        <w:tc>
          <w:p>
            <w:r>
              <w:t xml:space="preserve">Cellular + ruggedized antenna</w:t>
            </w:r>
          </w:p>
        </w:tc>
      </w:tr>
      <w:tr>
        <w:tc>
          <w:p>
            <w:r>
              <w:t xml:space="preserve">Outdoor covered (canopy)</w:t>
            </w:r>
          </w:p>
        </w:tc>
        <w:tc>
          <w:p>
            <w:r>
              <w:t xml:space="preserve">NEMA 3R</w:t>
            </w:r>
          </w:p>
        </w:tc>
        <w:tc>
          <w:p>
            <w:r>
              <w:t xml:space="preserve">Standard high-ambient (95°F rated)</w:t>
            </w:r>
          </w:p>
        </w:tc>
        <w:tc>
          <w:p>
            <w:r>
              <w:t xml:space="preserve">Cellular or hardwired Ethernet</w:t>
            </w:r>
          </w:p>
        </w:tc>
      </w:tr>
      <w:tr>
        <w:tc>
          <w:p>
            <w:r>
              <w:t xml:space="preserve">Indoor air-conditioned</w:t>
            </w:r>
          </w:p>
        </w:tc>
        <w:tc>
          <w:p>
            <w:r>
              <w:t xml:space="preserve">Standard NEMA 1</w:t>
            </w:r>
          </w:p>
        </w:tc>
        <w:tc>
          <w:p>
            <w:r>
              <w:t xml:space="preserve">Standard ambient (60-80°F)</w:t>
            </w:r>
          </w:p>
        </w:tc>
        <w:tc>
          <w:p>
            <w:r>
              <w:t xml:space="preserve">Hardwired Ethernet or WiFi</w:t>
            </w:r>
          </w:p>
        </w:tc>
      </w:tr>
      <w:tr>
        <w:tc>
          <w:p>
            <w:r>
              <w:t xml:space="preserve">Backstage / cast-only</w:t>
            </w:r>
          </w:p>
        </w:tc>
        <w:tc>
          <w:p>
            <w:r>
              <w:t xml:space="preserve">NEMA 1</w:t>
            </w:r>
          </w:p>
        </w:tc>
        <w:tc>
          <w:p>
            <w:r>
              <w:t xml:space="preserve">Standard ambient</w:t>
            </w:r>
          </w:p>
        </w:tc>
        <w:tc>
          <w:p>
            <w:r>
              <w:t xml:space="preserve">Hardwired Ethernet</w:t>
            </w:r>
          </w:p>
        </w:tc>
      </w:tr>
      <w:tr>
        <w:tc>
          <w:p>
            <w:r>
              <w:t xml:space="preserve">Seasonal outdoor (water park)</w:t>
            </w:r>
          </w:p>
        </w:tc>
        <w:tc>
          <w:p>
            <w:r>
              <w:t xml:space="preserve">NEMA 4X + IP65 readers</w:t>
            </w:r>
          </w:p>
        </w:tc>
        <w:tc>
          <w:p>
            <w:r>
              <w:t xml:space="preserve">Hot-climate, dehumidifier-equipped</w:t>
            </w:r>
          </w:p>
        </w:tc>
        <w:tc>
          <w:p>
            <w:r>
              <w:t xml:space="preserve">Cellular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3. Park-app + payment integration</w:t>
      </w:r>
    </w:p>
    <w:p>
      <w:pPr>
        <w:spacing w:after="120"/>
      </w:pPr>
      <w:r>
        <w:rPr>
          <w:b/>
          <w:bCs/>
          <w:color w:val="111827"/>
        </w:rPr>
        <w:t xml:space="preserve">Payment methods: </w:t>
      </w:r>
      <w:r>
        <w:t xml:space="preserve">Apple Pay, Google Pay, contactless EMV, park-app QR + wallet, park-RFID wristband (where the park uses a Disney MagicBand-style wearable).</w:t>
      </w:r>
    </w:p>
    <w:p>
      <w:pPr>
        <w:spacing w:after="120"/>
      </w:pPr>
      <w:r>
        <w:rPr>
          <w:b/>
          <w:bCs/>
          <w:color w:val="111827"/>
        </w:rPr>
        <w:t xml:space="preserve">Park-app SDK: </w:t>
      </w:r>
      <w:r>
        <w:t xml:space="preserve">Operator integrates with park-app SDK or REST API; supports wallet credit, season-pass perks, dining-plan deduction where applicable.</w:t>
      </w:r>
    </w:p>
    <w:p>
      <w:pPr>
        <w:spacing w:after="120"/>
      </w:pPr>
      <w:r>
        <w:rPr>
          <w:b/>
          <w:bCs/>
          <w:color w:val="111827"/>
        </w:rPr>
        <w:t xml:space="preserve">PCI-DSS 4.0: </w:t>
      </w:r>
      <w:r>
        <w:t xml:space="preserve">Operator AOC + applicable SAQ (SAQ-B-IP for cashless networked); no PAN storage at the vending machine; tokenization through P2PE-validated solution where required.</w:t>
      </w:r>
    </w:p>
    <w:p>
      <w:pPr>
        <w:spacing w:after="120"/>
      </w:pPr>
      <w:r>
        <w:rPr>
          <w:b/>
          <w:bCs/>
          <w:color w:val="111827"/>
        </w:rPr>
        <w:t xml:space="preserve">Loss prevention: </w:t>
      </w:r>
      <w:r>
        <w:t xml:space="preserve">Vision + analytics integration (operator-side); transaction-log mirrored to park's loss-prevention system; alert thresholds for refund spikes or unusual cash patterns.</w:t>
      </w:r>
    </w:p>
    <w:p>
      <w:pPr>
        <w:spacing w:after="120"/>
      </w:pPr>
      <w:r>
        <w:rPr>
          <w:b/>
          <w:bCs/>
          <w:color w:val="111827"/>
        </w:rPr>
        <w:t xml:space="preserve">Data exchange: </w:t>
      </w:r>
      <w:r>
        <w:t xml:space="preserve">Operator delivers per-guest spend (anonymized or guest-ID-linked per park privacy policy) to park's data platform; COPPA + state-privacy compliance for any minor guest data.</w:t>
      </w:r>
    </w:p>
    <w:p>
      <w:pPr>
        <w:pStyle w:val="Heading1"/>
        <w:spacing w:after="150" w:before="300"/>
      </w:pPr>
      <w:r>
        <w:t xml:space="preserve">4. Surge calendar template</w:t>
      </w:r>
    </w:p>
    <w:p>
      <w:pPr>
        <w:spacing w:after="200"/>
      </w:pPr>
      <w:r>
        <w:t xml:space="preserve">Theme parks experience attendance peaks tied to holidays, school calendars, and event programming. Operator should pre-position inventory and labor against the surge calendar.</w:t>
      </w:r>
    </w:p>
    <w:p>
      <w:pPr>
        <w:spacing w:after="120"/>
      </w:pPr>
      <w:r>
        <w:rPr>
          <w:b/>
          <w:bCs/>
          <w:color w:val="111827"/>
        </w:rPr>
        <w:t xml:space="preserve">Tier-1 surges (highest): </w:t>
      </w:r>
      <w:r>
        <w:t xml:space="preserve">Memorial Day weekend, Independence Day, Labor Day weekend, week between Christmas + New Year, spring break peak weeks.</w:t>
      </w:r>
    </w:p>
    <w:p>
      <w:pPr>
        <w:spacing w:after="120"/>
      </w:pPr>
      <w:r>
        <w:rPr>
          <w:b/>
          <w:bCs/>
          <w:color w:val="111827"/>
        </w:rPr>
        <w:t xml:space="preserve">Tier-2 surges (high): </w:t>
      </w:r>
      <w:r>
        <w:t xml:space="preserve">Easter weekend, Mother's Day, Father's Day, Halloween / fall event weekends, Thanksgiving weekend.</w:t>
      </w:r>
    </w:p>
    <w:p>
      <w:pPr>
        <w:spacing w:after="120"/>
      </w:pPr>
      <w:r>
        <w:rPr>
          <w:b/>
          <w:bCs/>
          <w:color w:val="111827"/>
        </w:rPr>
        <w:t xml:space="preserve">Tier-3 surges (medium): </w:t>
      </w:r>
      <w:r>
        <w:t xml:space="preserve">Summer weekends, school-out weeks (region-specific), event nights (concerts, fireworks).</w:t>
      </w:r>
    </w:p>
    <w:p>
      <w:pPr>
        <w:spacing w:after="120"/>
      </w:pPr>
      <w:r>
        <w:rPr>
          <w:b/>
          <w:bCs/>
          <w:color w:val="111827"/>
        </w:rPr>
        <w:t xml:space="preserve">Pre-position: </w:t>
      </w:r>
      <w:r>
        <w:t xml:space="preserve">T-7 inventory build (1.5-2.0x normal); T-1 staffing build (additional restock + service tech on standby); T+0 telemetry-driven mid-day top-off.</w:t>
      </w:r>
    </w:p>
    <w:p>
      <w:pPr>
        <w:spacing w:after="120"/>
      </w:pPr>
      <w:r>
        <w:rPr>
          <w:b/>
          <w:bCs/>
          <w:color w:val="111827"/>
        </w:rPr>
        <w:t xml:space="preserve">Post-surge analysis: </w:t>
      </w:r>
      <w:r>
        <w:t xml:space="preserve">T+3 surge review: per-SKU sell-through, refund rate, downtime, customer-feedback themes. Drives next-year surge planning.</w:t>
      </w:r>
    </w:p>
    <w:p>
      <w:pPr>
        <w:pStyle w:val="Heading1"/>
        <w:spacing w:after="150" w:before="300"/>
      </w:pPr>
      <w:r>
        <w:t xml:space="preserve">5. Operator capability checks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 should attest to custom themed cabinet fabrication or partnership with a themed-fabrication vendor (Mycotoo, Garner Holt, or comparable).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 should attest to NSF/ANSI 7 + 25 certifications on all refrigerated equipment under the themed cabinet.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 should attest to NEMA-rated electrical enclosure matching the placement environment + UL-listed assembly.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 should attest to PCI-DSS 4.0 cashless payment, park-app SDK integration capability, and PCI-DSS audit on file.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 should provide $5M general liability (higher than baseline for theme-park venue), $5M umbrella, food product liability ≥ $2M, additional-insured endorsement to park + IP owner.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 should attest to cast / employee background check, badging, and onboarding consistent with park policy.</w:t>
      </w:r>
    </w:p>
    <w:p>
      <w:pPr>
        <w:pStyle w:val="Heading1"/>
        <w:spacing w:after="150" w:before="300"/>
      </w:pPr>
      <w:r>
        <w:t xml:space="preserve">6. Service SLA + cadence</w:t>
      </w:r>
    </w:p>
    <w:p>
      <w:pPr>
        <w:spacing w:after="120"/>
      </w:pPr>
      <w:r>
        <w:rPr>
          <w:b/>
          <w:bCs/>
          <w:color w:val="111827"/>
        </w:rPr>
        <w:t xml:space="preserve">Tier-1 (revenue-critical, cold-chain, payment): </w:t>
      </w:r>
      <w:r>
        <w:t xml:space="preserve">≤ 2 hour on-site response during operating hours; ≤ 4 hour resolution. Examples: machine offline, payment system down, temperature excursion, refrigeration failure.</w:t>
      </w:r>
    </w:p>
    <w:p>
      <w:pPr>
        <w:spacing w:after="120"/>
      </w:pPr>
      <w:r>
        <w:rPr>
          <w:b/>
          <w:bCs/>
          <w:color w:val="111827"/>
        </w:rPr>
        <w:t xml:space="preserve">Tier-2 (stockout, planogram): </w:t>
      </w:r>
      <w:r>
        <w:t xml:space="preserve">≤ 4 hour acknowledgement; restock during next park-down window (typically overnight).</w:t>
      </w:r>
    </w:p>
    <w:p>
      <w:pPr>
        <w:spacing w:after="120"/>
      </w:pPr>
      <w:r>
        <w:rPr>
          <w:b/>
          <w:bCs/>
          <w:color w:val="111827"/>
        </w:rPr>
        <w:t xml:space="preserve">Tier-3 (cosmetic, graphic, signage): </w:t>
      </w:r>
      <w:r>
        <w:t xml:space="preserve">≤ 24 hour acknowledgement; resolution during scheduled park maintenance window.</w:t>
      </w:r>
    </w:p>
    <w:p>
      <w:pPr>
        <w:spacing w:after="120"/>
      </w:pPr>
      <w:r>
        <w:rPr>
          <w:b/>
          <w:bCs/>
          <w:color w:val="111827"/>
        </w:rPr>
        <w:t xml:space="preserve">Park-down window operations: </w:t>
      </w:r>
      <w:r>
        <w:t xml:space="preserve">Operator service crew operates during park-down (typically 1-6 AM); coordinate with park security + maintenance for access.</w:t>
      </w:r>
    </w:p>
    <w:p>
      <w:pPr>
        <w:spacing w:after="120"/>
      </w:pPr>
      <w:r>
        <w:rPr>
          <w:b/>
          <w:bCs/>
          <w:color w:val="111827"/>
        </w:rPr>
        <w:t xml:space="preserve">Cast-only placements: </w:t>
      </w:r>
      <w:r>
        <w:t xml:space="preserve">Service during cast-shift change windows; coordinate with HR + operations.</w:t>
      </w:r>
    </w:p>
    <w:p>
      <w:pPr>
        <w:pStyle w:val="Heading1"/>
        <w:spacing w:after="150" w:before="300"/>
      </w:pPr>
      <w:r>
        <w:t xml:space="preserve">7. Planogram + product specification</w:t>
      </w:r>
    </w:p>
    <w:p>
      <w:pPr>
        <w:spacing w:after="120"/>
      </w:pPr>
      <w:r>
        <w:rPr>
          <w:b/>
          <w:bCs/>
          <w:color w:val="111827"/>
        </w:rPr>
        <w:t xml:space="preserve">Beverage (50% of facings, hot weather; 35% cool weather): </w:t>
      </w:r>
      <w:r>
        <w:t xml:space="preserve">Bottled water (16-20 oz), sparkling water, electrolyte, soda + diet (per park beverage rights), juice, RTD coffee. Park beverage-rights partner (Coca-Cola or PepsiCo) defines available SKUs.</w:t>
      </w:r>
    </w:p>
    <w:p>
      <w:pPr>
        <w:spacing w:after="120"/>
      </w:pPr>
      <w:r>
        <w:rPr>
          <w:b/>
          <w:bCs/>
          <w:color w:val="111827"/>
        </w:rPr>
        <w:t xml:space="preserve">Snack (35%): </w:t>
      </w:r>
      <w:r>
        <w:t xml:space="preserve">Themed snack assortment aligned with park IP where licensed; baseline chips, popcorn, candy, novelty. Allergen labeling per FALCPA + FASTER Act.</w:t>
      </w:r>
    </w:p>
    <w:p>
      <w:pPr>
        <w:spacing w:after="120"/>
      </w:pPr>
      <w:r>
        <w:rPr>
          <w:b/>
          <w:bCs/>
          <w:color w:val="111827"/>
        </w:rPr>
        <w:t xml:space="preserve">Themed / IP novelty (10%): </w:t>
      </w:r>
      <w:r>
        <w:t xml:space="preserve">Souvenir cup, themed candy, character-branded snack where IP licensing permits. Margin typically 2-3x baseline SKU.</w:t>
      </w:r>
    </w:p>
    <w:p>
      <w:pPr>
        <w:spacing w:after="120"/>
      </w:pPr>
      <w:r>
        <w:rPr>
          <w:b/>
          <w:bCs/>
          <w:color w:val="111827"/>
        </w:rPr>
        <w:t xml:space="preserve">Healthier option facing (5%): </w:t>
      </w:r>
      <w:r>
        <w:t xml:space="preserve">Fruit cup, nut pack, lower-sugar bar — required at family-park placements per park guest-services policy.</w:t>
      </w:r>
    </w:p>
    <w:p>
      <w:pPr>
        <w:spacing w:after="120"/>
      </w:pPr>
      <w:r>
        <w:rPr>
          <w:b/>
          <w:bCs/>
          <w:color w:val="111827"/>
        </w:rPr>
        <w:t xml:space="preserve">Cold-chain: </w:t>
      </w:r>
      <w:r>
        <w:t xml:space="preserve">Refrigerated section maintained ≤ 40°F per FDA Food Code 3-501.16; telemetry alert at 30 minutes of excursion.</w:t>
      </w:r>
    </w:p>
    <w:p>
      <w:pPr>
        <w:pStyle w:val="Heading1"/>
        <w:spacing w:after="150" w:before="300"/>
      </w:pPr>
      <w:r>
        <w:t xml:space="preserve">8. Reporting + quarterly review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Daily during peak season: uptime, transactions, refund rate, cold-chain compliance.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Weekly during peak season: per-SKU velocity + stockout incidents + service ticket SLA adherence.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Monthly: full uptime + revenue + commission + planogram velocity + customer-feedback summary.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Quarterly: surge debrief, themed-graphic refresh proposal, IP-licensing renewal status, planogram refresh.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Annual: themed cabinet refresh cycle (typically 3-5 years per IP cycle), insurance + PCI recertification, contract renewal review.</w:t>
      </w:r>
    </w:p>
    <w:p>
      <w:pPr>
        <w:spacing w:before="400"/>
      </w:pPr>
      <w:r>
        <w:rPr>
          <w:i/>
          <w:iCs/>
          <w:color w:val="6B7280"/>
        </w:rPr>
        <w:t xml:space="preserve">This framework is informational and not legal or engineering advice. Themed-cabinet fabrication, IP licensing, and park-app integration each carry distinct legal, technical, and operational risk; confirm with park procurement, IT, food safety, and IP counsel. Local building, fire, and food codes may impose requirements above the federal floor.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Theme Park Custom Vending Framework</dc:title>
  <dc:creator>LetUsVending</dc:creator>
  <dc:description>Themed equipment spec, weather-hardened hardware, park-app integration, surge calendar</dc:description>
  <cp:lastModifiedBy>Un-named</cp:lastModifiedBy>
  <cp:revision>1</cp:revision>
  <dcterms:created xsi:type="dcterms:W3CDTF">2026-05-17T13:18:02.087Z</dcterms:created>
  <dcterms:modified xsi:type="dcterms:W3CDTF">2026-05-17T13:18:02.088Z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