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Vending Contract Termination Framework</w:t>
      </w:r>
    </w:p>
    <w:p>
      <w:pPr>
        <w:spacing w:after="200"/>
      </w:pPr>
      <w:r>
        <w:rPr>
          <w:i/>
          <w:iCs/>
          <w:color w:val="6B7280"/>
        </w:rPr>
        <w:t xml:space="preserve">Trigger checklist, cure-period scoping, exit-fee benchmarks, and transition timeline</w:t>
      </w:r>
    </w:p>
    <w:p>
      <w:pPr>
        <w:spacing w:after="300"/>
      </w:pPr>
      <w:r>
        <w:t xml:space="preserve">Use this framework when terminating a vending or micro-market MSA early. Most MSAs allow termination only on stated triggers with a cure period; jumping the cure clock invites a wrongful-termination claim. Standards cite PCI-DSS v4.0, ADA 2010 Standards, FDA Food Code 2022, and FALCPA.</w:t>
      </w:r>
    </w:p>
    <w:p>
      <w:pPr>
        <w:pStyle w:val="Heading1"/>
        <w:spacing w:after="150" w:before="300"/>
      </w:pPr>
      <w:r>
        <w:t xml:space="preserve">Trigger checklist — when is early termination defensible?</w:t>
      </w:r>
    </w:p>
    <w:p>
      <w:pPr>
        <w:spacing w:after="200"/>
      </w:pPr>
      <w:r>
        <w:t xml:space="preserve">Termination triggers fall into four categories: SLA failures, compliance failures, financial failures, and conduct failures. Document each trigger in writing with date-stamped evidence.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Repeated Tier-1 SLA failure — 3+ missed &lt; 24-hour resolutions in a single quarter, documented in operator's own SLA-adherence report.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Refund-rate exceeding MSA KPI — typically &gt; 3% sustained over 2 consecutive months.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Stockout-incident rate exceeding MSA KPI — typically &gt; 5 incidents per machine per month sustained over 2 months.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PCI-DSS attestation lapse — operator can't produce a current SAQ-C-VT or ROC; this is a material breach per most MSAs.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Cold-chain failure resulting in TCS food at &gt; 41°F sustained &gt; 4 hours per FDA Food Code 2022.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Foodborne illness incident traceable to operator product; immediate-termination trigger.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non-conformance unresolved after one cure period.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Insurance lapse — COI expired without renewal.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Material misrepresentation — operator certified compliance attestations that were not in fact current.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conduct — theft, harassment, or unauthorized access by operator personnel.</w:t>
      </w:r>
    </w:p>
    <w:p>
      <w:pPr>
        <w:pStyle w:val="Heading1"/>
        <w:spacing w:after="150" w:before="300"/>
      </w:pPr>
      <w:r>
        <w:t xml:space="preserve">Cure-period scoping</w:t>
      </w:r>
    </w:p>
    <w:p>
      <w:pPr>
        <w:spacing w:after="200"/>
      </w:pPr>
      <w:r>
        <w:t xml:space="preserve">Most MSAs include a 30-day cure period for material breach. Some breaches require immediate termination without cure — verify your MSA's express carve-outs before issuing notice.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Trigger category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Cure period (typical)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p>
            <w:r>
              <w:t xml:space="preserve">SLA failure (Tier-1)</w:t>
            </w:r>
          </w:p>
        </w:tc>
        <w:tc>
          <w:p>
            <w:r>
              <w:t xml:space="preserve">30 days from notice</w:t>
            </w:r>
          </w:p>
        </w:tc>
        <w:tc>
          <w:p>
            <w:r>
              <w:t xml:space="preserve">Operator must demonstrate remediation plan + 30-day clean-record cure.</w:t>
            </w:r>
          </w:p>
        </w:tc>
      </w:tr>
      <w:tr>
        <w:tc>
          <w:p>
            <w:r>
              <w:t xml:space="preserve">Compliance attestation lapse</w:t>
            </w:r>
          </w:p>
        </w:tc>
        <w:tc>
          <w:p>
            <w:r>
              <w:t xml:space="preserve">15-30 days</w:t>
            </w:r>
          </w:p>
        </w:tc>
        <w:tc>
          <w:p>
            <w:r>
              <w:t xml:space="preserve">PCI-DSS or ADA — operator must produce attestation within cure window.</w:t>
            </w:r>
          </w:p>
        </w:tc>
      </w:tr>
      <w:tr>
        <w:tc>
          <w:p>
            <w:r>
              <w:t xml:space="preserve">Cold-chain temperature excursion</w:t>
            </w:r>
          </w:p>
        </w:tc>
        <w:tc>
          <w:p>
            <w:r>
              <w:t xml:space="preserve">Immediate</w:t>
            </w:r>
          </w:p>
        </w:tc>
        <w:tc>
          <w:p>
            <w:r>
              <w:t xml:space="preserve">FDA Food Code 2022 §3-501.16; no cure period for repeated excursion.</w:t>
            </w:r>
          </w:p>
        </w:tc>
      </w:tr>
      <w:tr>
        <w:tc>
          <w:p>
            <w:r>
              <w:t xml:space="preserve">Foodborne illness</w:t>
            </w:r>
          </w:p>
        </w:tc>
        <w:tc>
          <w:p>
            <w:r>
              <w:t xml:space="preserve">Immediate</w:t>
            </w:r>
          </w:p>
        </w:tc>
        <w:tc>
          <w:p>
            <w:r>
              <w:t xml:space="preserve">No cure; operator removed from premises.</w:t>
            </w:r>
          </w:p>
        </w:tc>
      </w:tr>
      <w:tr>
        <w:tc>
          <w:p>
            <w:r>
              <w:t xml:space="preserve">Insurance lapse</w:t>
            </w:r>
          </w:p>
        </w:tc>
        <w:tc>
          <w:p>
            <w:r>
              <w:t xml:space="preserve">10 days</w:t>
            </w:r>
          </w:p>
        </w:tc>
        <w:tc>
          <w:p>
            <w:r>
              <w:t xml:space="preserve">Operator must produce renewed COI within cure window.</w:t>
            </w:r>
          </w:p>
        </w:tc>
      </w:tr>
      <w:tr>
        <w:tc>
          <w:p>
            <w:r>
              <w:t xml:space="preserve">Material misrepresentation</w:t>
            </w:r>
          </w:p>
        </w:tc>
        <w:tc>
          <w:p>
            <w:r>
              <w:t xml:space="preserve">Immediate</w:t>
            </w:r>
          </w:p>
        </w:tc>
        <w:tc>
          <w:p>
            <w:r>
              <w:t xml:space="preserve">No cure; founded on fraud / misrep.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Exit fees + financial transition</w:t>
      </w:r>
    </w:p>
    <w:p>
      <w:pPr>
        <w:spacing w:after="200"/>
      </w:pPr>
      <w:r>
        <w:t xml:space="preserve">Industry-standard MSAs do not impose exit fees on host-initiated termination for cause. Operator-drafted MSAs may include 'liquidated damages' clauses — these are negotiable and often unenforceable as penalty clauses.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For-cause termination — no exit fee. Operator removes equipment within 30 days at operator's expense.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For-convenience termination — exit-fee benchmarks: 1-3 months commission, capped at remaining contract value.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Equipment-buyout — only if host wants to retain machines; valued at depreciated book value, NOT replacement cost.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Unpaid commission — held by host until equipment removal and final reconciliation.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Sales-tax remittance — operator must complete final remittance and provide host with paid-in-full receipt.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Refund-pipeline — operator must process all pending refunds before final exit.</w:t>
      </w:r>
    </w:p>
    <w:p>
      <w:pPr>
        <w:pStyle w:val="Heading1"/>
        <w:spacing w:after="150" w:before="300"/>
      </w:pPr>
      <w:r>
        <w:t xml:space="preserve">Transition timeline template (90-day standard)</w:t>
      </w:r>
    </w:p>
    <w:p>
      <w:pPr>
        <w:spacing w:after="60" w:before="120"/>
      </w:pPr>
      <w:r>
        <w:rPr>
          <w:b/>
          <w:bCs/>
        </w:rPr>
        <w:t xml:space="preserve">1. Day 0 — Written notice of termination</w:t>
      </w:r>
    </w:p>
    <w:p>
      <w:pPr>
        <w:spacing w:after="120"/>
      </w:pPr>
      <w:r>
        <w:t xml:space="preserve">Issued by host counsel, references specific MSA section + trigger, requests acknowledgement within 5 business days.</w:t>
      </w:r>
    </w:p>
    <w:p>
      <w:pPr>
        <w:spacing w:after="60" w:before="120"/>
      </w:pPr>
      <w:r>
        <w:rPr>
          <w:b/>
          <w:bCs/>
        </w:rPr>
        <w:t xml:space="preserve">2. Day 5-10 — Operator response + cure plan (if applicable)</w:t>
      </w:r>
    </w:p>
    <w:p>
      <w:pPr>
        <w:spacing w:after="120"/>
      </w:pPr>
      <w:r>
        <w:t xml:space="preserve">Operator responds in writing; if cure period applies, operator's remediation plan documented.</w:t>
      </w:r>
    </w:p>
    <w:p>
      <w:pPr>
        <w:spacing w:after="60" w:before="120"/>
      </w:pPr>
      <w:r>
        <w:rPr>
          <w:b/>
          <w:bCs/>
        </w:rPr>
        <w:t xml:space="preserve">3. Day 30 — Cure-period close + termination effective</w:t>
      </w:r>
    </w:p>
    <w:p>
      <w:pPr>
        <w:spacing w:after="120"/>
      </w:pPr>
      <w:r>
        <w:t xml:space="preserve">If cure failed (or not applicable), termination is effective. Operator service continues during cure period.</w:t>
      </w:r>
    </w:p>
    <w:p>
      <w:pPr>
        <w:spacing w:after="60" w:before="120"/>
      </w:pPr>
      <w:r>
        <w:rPr>
          <w:b/>
          <w:bCs/>
        </w:rPr>
        <w:t xml:space="preserve">4. Day 30-60 — RFP for replacement operator</w:t>
      </w:r>
    </w:p>
    <w:p>
      <w:pPr>
        <w:spacing w:after="120"/>
      </w:pPr>
      <w:r>
        <w:t xml:space="preserve">Host issues RFP to 3-5 vetted operators. Capability-driven evaluation, not price-anchored.</w:t>
      </w:r>
    </w:p>
    <w:p>
      <w:pPr>
        <w:spacing w:after="60" w:before="120"/>
      </w:pPr>
      <w:r>
        <w:rPr>
          <w:b/>
          <w:bCs/>
        </w:rPr>
        <w:t xml:space="preserve">5. Day 60-75 — New operator MSA + installation prep</w:t>
      </w:r>
    </w:p>
    <w:p>
      <w:pPr>
        <w:spacing w:after="120"/>
      </w:pPr>
      <w:r>
        <w:t xml:space="preserve">Host signs MSA with new operator; new operator conducts site survey + electrical / data scope.</w:t>
      </w:r>
    </w:p>
    <w:p>
      <w:pPr>
        <w:spacing w:after="60" w:before="120"/>
      </w:pPr>
      <w:r>
        <w:rPr>
          <w:b/>
          <w:bCs/>
        </w:rPr>
        <w:t xml:space="preserve">6. Day 75-90 — Equipment swap</w:t>
      </w:r>
    </w:p>
    <w:p>
      <w:pPr>
        <w:spacing w:after="120"/>
      </w:pPr>
      <w:r>
        <w:t xml:space="preserve">Outgoing operator removes equipment; incoming operator installs; soft-launch with new planogram.</w:t>
      </w:r>
    </w:p>
    <w:p>
      <w:pPr>
        <w:pStyle w:val="Heading1"/>
        <w:spacing w:after="150" w:before="300"/>
      </w:pPr>
      <w:r>
        <w:t xml:space="preserve">Documentation pack — required for defensible termination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Last 12 months of SLA-adherence reports (operator-provided).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Last 12 months of stockout-incident logs (operator-provided).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Last 12 months of refund-rate reports (operator-provided).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Last 12 months of cold-chain logs (operator-provided).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Current PCI-DSS attestation (or evidence of lapse).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Current ADA Section 308 recertification (or evidence of lapse).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Current COI (or evidence of lapse).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Service-ticket log with date-stamped entries showing missed SLA.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Written complaints from host employees or facility staff.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Any health-department, ADA, or PCI investigation findings.</w:t>
      </w:r>
    </w:p>
    <w:p>
      <w:pPr>
        <w:pStyle w:val="Heading1"/>
        <w:spacing w:after="150" w:before="300"/>
      </w:pPr>
      <w:r>
        <w:t xml:space="preserve">Common operator pushback + responses</w:t>
      </w:r>
    </w:p>
    <w:p>
      <w:pPr>
        <w:spacing w:after="60" w:before="120"/>
      </w:pPr>
      <w:r>
        <w:rPr>
          <w:b/>
          <w:bCs/>
        </w:rPr>
        <w:t xml:space="preserve">1. 'You need to give us another cure period'</w:t>
      </w:r>
    </w:p>
    <w:p>
      <w:pPr>
        <w:spacing w:after="120"/>
      </w:pPr>
      <w:r>
        <w:t xml:space="preserve">Response: The MSA provides one cure period per breach; repeated breach of the same KPI exhausts cure. Cite contract section.</w:t>
      </w:r>
    </w:p>
    <w:p>
      <w:pPr>
        <w:spacing w:after="60" w:before="120"/>
      </w:pPr>
      <w:r>
        <w:rPr>
          <w:b/>
          <w:bCs/>
        </w:rPr>
        <w:t xml:space="preserve">2. 'Exit fee is owed'</w:t>
      </w:r>
    </w:p>
    <w:p>
      <w:pPr>
        <w:spacing w:after="120"/>
      </w:pPr>
      <w:r>
        <w:t xml:space="preserve">Response: For-cause termination doesn't trigger exit fees in industry-standard MSAs. Liquidated-damages clauses are reviewable as unenforceable penalty clauses.</w:t>
      </w:r>
    </w:p>
    <w:p>
      <w:pPr>
        <w:spacing w:after="60" w:before="120"/>
      </w:pPr>
      <w:r>
        <w:rPr>
          <w:b/>
          <w:bCs/>
        </w:rPr>
        <w:t xml:space="preserve">3. 'Equipment removal will take 60-90 days'</w:t>
      </w:r>
    </w:p>
    <w:p>
      <w:pPr>
        <w:spacing w:after="120"/>
      </w:pPr>
      <w:r>
        <w:t xml:space="preserve">Response: MSA typically requires removal within 30 days. After day 30, host may charge storage or dispose of equipment per MSA.</w:t>
      </w:r>
    </w:p>
    <w:p>
      <w:pPr>
        <w:spacing w:after="60" w:before="120"/>
      </w:pPr>
      <w:r>
        <w:rPr>
          <w:b/>
          <w:bCs/>
        </w:rPr>
        <w:t xml:space="preserve">4. 'Final commission is owed'</w:t>
      </w:r>
    </w:p>
    <w:p>
      <w:pPr>
        <w:spacing w:after="120"/>
      </w:pPr>
      <w:r>
        <w:t xml:space="preserve">Response: Final commission is held until equipment removal + final reconciliation. Net of pending refunds, sales tax remittance, damages.</w:t>
      </w:r>
    </w:p>
    <w:p>
      <w:pPr>
        <w:spacing w:before="400"/>
      </w:pPr>
      <w:r>
        <w:rPr>
          <w:i/>
          <w:iCs/>
          <w:color w:val="6B7280"/>
        </w:rPr>
        <w:t xml:space="preserve">This framework is informational and not legal advice. Termination notices should be reviewed by counsel licensed in your state before issuance; the consequences of a wrongful-termination claim materially exceed the cost of legal review.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Vending Contract Termination Framework</dc:title>
  <dc:creator>LetUsVending</dc:creator>
  <dc:description>Trigger checklist, cure-period scoping, exit-fee benchmarks, and transition timeline</dc:description>
  <cp:lastModifiedBy>Un-named</cp:lastModifiedBy>
  <cp:revision>1</cp:revision>
  <dcterms:created xsi:type="dcterms:W3CDTF">2026-05-17T13:18:02.596Z</dcterms:created>
  <dcterms:modified xsi:type="dcterms:W3CDTF">2026-05-17T13:18:02.597Z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