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Venue Eco-Vending Framework</w:t>
      </w:r>
    </w:p>
    <w:p>
      <w:pPr>
        <w:spacing w:after="200"/>
      </w:pPr>
      <w:r>
        <w:rPr>
          <w:i/>
          <w:iCs/>
          <w:color w:val="6B7280"/>
        </w:rPr>
        <w:t xml:space="preserve">Six-dimension spec, certified-SKU curation, ESG data feed integration, operator MSA template</w:t>
      </w:r>
    </w:p>
    <w:p>
      <w:pPr>
        <w:spacing w:after="300"/>
      </w:pPr>
      <w:r>
        <w:t xml:space="preserve">Use this framework to specify and operate an eco-vending program at an entertainment venue (theater, arena, stadium, theme park, convention center). Each section is capability-framed and references EPA ENERGY STAR, AHRI 1410 (vending machine efficiency), Green Seal + USDA BioPreferred + BPI compostability certifications, FTC Green Guides for environmental claims, and FDA Food Code 2022 + FALCPA for the food-safety baseline. Operator capabilities should be confirmed in writing before contract execution.</w:t>
      </w:r>
    </w:p>
    <w:p>
      <w:pPr>
        <w:pStyle w:val="Heading1"/>
        <w:spacing w:after="150" w:before="300"/>
      </w:pPr>
      <w:r>
        <w:t xml:space="preserve">1. Six-dimension eco specification</w:t>
      </w:r>
    </w:p>
    <w:p>
      <w:pPr>
        <w:spacing w:after="200"/>
      </w:pPr>
      <w:r>
        <w:t xml:space="preserve">Eco-vending is not a single attribute. The six dimensions below cover the lifecycle of a vending unit and the products inside.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Spec 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Reference standard</w:t>
            </w:r>
          </w:p>
        </w:tc>
      </w:tr>
      <w:tr>
        <w:tc>
          <w:p>
            <w:r>
              <w:t xml:space="preserve">1. Energy efficiency</w:t>
            </w:r>
          </w:p>
        </w:tc>
        <w:tc>
          <w:p>
            <w:r>
              <w:t xml:space="preserve">ENERGY STAR certified vending equipment; ≤ 1,800 kWh/year per unit at standard test conditions</w:t>
            </w:r>
          </w:p>
        </w:tc>
        <w:tc>
          <w:p>
            <w:r>
              <w:t xml:space="preserve">EPA ENERGY STAR + AHRI 1410</w:t>
            </w:r>
          </w:p>
        </w:tc>
      </w:tr>
      <w:tr>
        <w:tc>
          <w:p>
            <w:r>
              <w:t xml:space="preserve">2. Refrigerant + cold-chain</w:t>
            </w:r>
          </w:p>
        </w:tc>
        <w:tc>
          <w:p>
            <w:r>
              <w:t xml:space="preserve">HFC-free refrigerant (R-290, R-744 / CO2); GWP &lt; 150</w:t>
            </w:r>
          </w:p>
        </w:tc>
        <w:tc>
          <w:p>
            <w:r>
              <w:t xml:space="preserve">SNAP-approved per EPA SNAP + EU F-Gas</w:t>
            </w:r>
          </w:p>
        </w:tc>
      </w:tr>
      <w:tr>
        <w:tc>
          <w:p>
            <w:r>
              <w:t xml:space="preserve">3. Packaging</w:t>
            </w:r>
          </w:p>
        </w:tc>
        <w:tc>
          <w:p>
            <w:r>
              <w:t xml:space="preserve">≥ 80% of facings in recyclable, compostable (BPI), or refillable packaging</w:t>
            </w:r>
          </w:p>
        </w:tc>
        <w:tc>
          <w:p>
            <w:r>
              <w:t xml:space="preserve">BPI + USDA BioPreferred + How2Recycle labels</w:t>
            </w:r>
          </w:p>
        </w:tc>
      </w:tr>
      <w:tr>
        <w:tc>
          <w:p>
            <w:r>
              <w:t xml:space="preserve">4. Product certifications</w:t>
            </w:r>
          </w:p>
        </w:tc>
        <w:tc>
          <w:p>
            <w:r>
              <w:t xml:space="preserve">Defined certified-SKU floor (Fair Trade, Rainforest Alliance, USDA Organic, Non-GMO, B Corp)</w:t>
            </w:r>
          </w:p>
        </w:tc>
        <w:tc>
          <w:p>
            <w:r>
              <w:t xml:space="preserve">Per-certification body + FTC Green Guides</w:t>
            </w:r>
          </w:p>
        </w:tc>
      </w:tr>
      <w:tr>
        <w:tc>
          <w:p>
            <w:r>
              <w:t xml:space="preserve">5. Waste + recycling</w:t>
            </w:r>
          </w:p>
        </w:tc>
        <w:tc>
          <w:p>
            <w:r>
              <w:t xml:space="preserve">Co-located 3-bin waste sort (landfill / recycle / compost); operator removes its own packaging waste</w:t>
            </w:r>
          </w:p>
        </w:tc>
        <w:tc>
          <w:p>
            <w:r>
              <w:t xml:space="preserve">EPA WasteWise + venue policy</w:t>
            </w:r>
          </w:p>
        </w:tc>
      </w:tr>
      <w:tr>
        <w:tc>
          <w:p>
            <w:r>
              <w:t xml:space="preserve">6. ESG reporting</w:t>
            </w:r>
          </w:p>
        </w:tc>
        <w:tc>
          <w:p>
            <w:r>
              <w:t xml:space="preserve">Quarterly data feed: kWh, refrigerant inventory, packaging mix, certified-SKU %, waste tonnage diverted</w:t>
            </w:r>
          </w:p>
        </w:tc>
        <w:tc>
          <w:p>
            <w:r>
              <w:t xml:space="preserve">GRI 305 + SASB Food Retailers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Certified-SKU curation</w:t>
      </w:r>
    </w:p>
    <w:p>
      <w:pPr>
        <w:spacing w:after="200"/>
      </w:pPr>
      <w:r>
        <w:t xml:space="preserve">Define a certified-SKU floor in the contract — for example, ≥ 60% of facings carry at least one third-party sustainability certification. Operator should attest in writing and provide quarterly chain-of-custody documentation.</w:t>
      </w:r>
    </w:p>
    <w:p>
      <w:pPr>
        <w:spacing w:after="120"/>
      </w:pPr>
      <w:r>
        <w:rPr>
          <w:b/>
          <w:bCs/>
          <w:color w:val="111827"/>
        </w:rPr>
        <w:t xml:space="preserve">Fair Trade USA / Fairtrade International: </w:t>
      </w:r>
      <w:r>
        <w:t xml:space="preserve">Coffee, tea, cocoa, sugar, banana. Operator provides FLO-CERT or Fair Trade USA chain-of-custody certificate.</w:t>
      </w:r>
    </w:p>
    <w:p>
      <w:pPr>
        <w:spacing w:after="120"/>
      </w:pPr>
      <w:r>
        <w:rPr>
          <w:b/>
          <w:bCs/>
          <w:color w:val="111827"/>
        </w:rPr>
        <w:t xml:space="preserve">Rainforest Alliance: </w:t>
      </w:r>
      <w:r>
        <w:t xml:space="preserve">Coffee, tea, cocoa, banana. Operator provides RA certificate + traceability ID.</w:t>
      </w:r>
    </w:p>
    <w:p>
      <w:pPr>
        <w:spacing w:after="120"/>
      </w:pPr>
      <w:r>
        <w:rPr>
          <w:b/>
          <w:bCs/>
          <w:color w:val="111827"/>
        </w:rPr>
        <w:t xml:space="preserve">USDA Organic: </w:t>
      </w:r>
      <w:r>
        <w:t xml:space="preserve">Snack, beverage, dairy. Operator provides NOP (National Organic Program) certificate.</w:t>
      </w:r>
    </w:p>
    <w:p>
      <w:pPr>
        <w:spacing w:after="120"/>
      </w:pPr>
      <w:r>
        <w:rPr>
          <w:b/>
          <w:bCs/>
          <w:color w:val="111827"/>
        </w:rPr>
        <w:t xml:space="preserve">Non-GMO Project Verified: </w:t>
      </w:r>
      <w:r>
        <w:t xml:space="preserve">Snack, beverage, dairy. Operator provides Non-GMO Project verification ID.</w:t>
      </w:r>
    </w:p>
    <w:p>
      <w:pPr>
        <w:spacing w:after="120"/>
      </w:pPr>
      <w:r>
        <w:rPr>
          <w:b/>
          <w:bCs/>
          <w:color w:val="111827"/>
        </w:rPr>
        <w:t xml:space="preserve">B Corp: </w:t>
      </w:r>
      <w:r>
        <w:t xml:space="preserve">Brand-level certification. Operator provides current B Corp certification of supplier.</w:t>
      </w:r>
    </w:p>
    <w:p>
      <w:pPr>
        <w:spacing w:after="120"/>
      </w:pPr>
      <w:r>
        <w:rPr>
          <w:b/>
          <w:bCs/>
          <w:color w:val="111827"/>
        </w:rPr>
        <w:t xml:space="preserve">BPI compostable + How2Recycle: </w:t>
      </w:r>
      <w:r>
        <w:t xml:space="preserve">Packaging certifications applied to disposables, cups, lids, utensils, snack film.</w:t>
      </w:r>
    </w:p>
    <w:p>
      <w:pPr>
        <w:pStyle w:val="Heading1"/>
        <w:spacing w:after="150" w:before="300"/>
      </w:pPr>
      <w:r>
        <w:t xml:space="preserve">3. Equipment specification — ENERGY STAR + refrigerant</w:t>
      </w:r>
    </w:p>
    <w:p>
      <w:pPr>
        <w:spacing w:after="120"/>
      </w:pPr>
      <w:r>
        <w:rPr>
          <w:b/>
          <w:bCs/>
          <w:color w:val="111827"/>
        </w:rPr>
        <w:t xml:space="preserve">ENERGY STAR refrigerated beverage vending: </w:t>
      </w:r>
      <w:r>
        <w:t xml:space="preserve">AMS, Crane, Royal, Vendo, USI with ENERGY STAR certification; ≤ 1,800 kWh/year for full-size beverage vending per ENERGY STAR v3.1 spec.</w:t>
      </w:r>
    </w:p>
    <w:p>
      <w:pPr>
        <w:spacing w:after="120"/>
      </w:pPr>
      <w:r>
        <w:rPr>
          <w:b/>
          <w:bCs/>
          <w:color w:val="111827"/>
        </w:rPr>
        <w:t xml:space="preserve">ENERGY STAR refrigerated combo + snack: </w:t>
      </w:r>
      <w:r>
        <w:t xml:space="preserve">Combo + snack vending ENERGY STAR-certified or labeled where category is covered.</w:t>
      </w:r>
    </w:p>
    <w:p>
      <w:pPr>
        <w:spacing w:after="120"/>
      </w:pPr>
      <w:r>
        <w:rPr>
          <w:b/>
          <w:bCs/>
          <w:color w:val="111827"/>
        </w:rPr>
        <w:t xml:space="preserve">Refrigerant: </w:t>
      </w:r>
      <w:r>
        <w:t xml:space="preserve">R-290 (propane) or R-744 (CO2) preferred (GWP &lt; 5); R-513A or R-454B acceptable transitional refrigerants (GWP &lt; 600). Avoid R-404A or R-134a.</w:t>
      </w:r>
    </w:p>
    <w:p>
      <w:pPr>
        <w:spacing w:after="120"/>
      </w:pPr>
      <w:r>
        <w:rPr>
          <w:b/>
          <w:bCs/>
          <w:color w:val="111827"/>
        </w:rPr>
        <w:t xml:space="preserve">LED lighting: </w:t>
      </w:r>
      <w:r>
        <w:t xml:space="preserve">10+ year life LED interior + face lighting; dimmable + occupancy-sensor-equipped where feasible.</w:t>
      </w:r>
    </w:p>
    <w:p>
      <w:pPr>
        <w:spacing w:after="120"/>
      </w:pPr>
      <w:r>
        <w:rPr>
          <w:b/>
          <w:bCs/>
          <w:color w:val="111827"/>
        </w:rPr>
        <w:t xml:space="preserve">Vending Misers / occupancy controls: </w:t>
      </w:r>
      <w:r>
        <w:t xml:space="preserve">USA Technologies VendingMiser, Cantaloupe SmartPower, or comparable PIR + thermostat sensors; typical 30-40% energy reduction at low-traffic placements.</w:t>
      </w:r>
    </w:p>
    <w:p>
      <w:pPr>
        <w:pStyle w:val="Heading1"/>
        <w:spacing w:after="150" w:before="300"/>
      </w:pPr>
      <w:r>
        <w:t xml:space="preserve">4.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ENERGY STAR-certified equipment for all refrigerated units and provide AHRI 1410 + ENERGY STAR documentation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HFC-free or low-GWP refrigerant on all new placements; transition plan for legacy units.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≥ X% certified-SKU floor (define in contract) with quarterly chain-of-custody documentation.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FTC Green Guides compliance for any environmental claim made on the machine face, packaging, or marketing material.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packaging-waste removal cadence + diversion-rate reporting (target ≥ 60% diversion).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ESG data feed delivery (kWh, refrigerant inventory, packaging mix, certified %, tonnage diverted) on a quarterly cadence.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NSF/ANSI 7 + 25 + FDA Food Code + FALCPA baselines unchanged by the eco overlay.</w:t>
      </w:r>
    </w:p>
    <w:p>
      <w:pPr>
        <w:pStyle w:val="Heading1"/>
        <w:spacing w:after="150" w:before="300"/>
      </w:pPr>
      <w:r>
        <w:t xml:space="preserve">5. ESG data feed integration</w:t>
      </w:r>
    </w:p>
    <w:p>
      <w:pPr>
        <w:spacing w:after="200"/>
      </w:pPr>
      <w:r>
        <w:t xml:space="preserve">Where the venue publishes a sustainability report (GRI, SASB, CDP, TCFD-aligned), operator-side vending data should plug in. Define the data feed below.</w:t>
      </w:r>
    </w:p>
    <w:p>
      <w:pPr>
        <w:spacing w:after="120"/>
      </w:pPr>
      <w:r>
        <w:rPr>
          <w:b/>
          <w:bCs/>
          <w:color w:val="111827"/>
        </w:rPr>
        <w:t xml:space="preserve">Energy: </w:t>
      </w:r>
      <w:r>
        <w:t xml:space="preserve">Per-machine kWh per month from operator's telemetry; aggregated and reported quarterly. Maps to GRI 302-1.</w:t>
      </w:r>
    </w:p>
    <w:p>
      <w:pPr>
        <w:spacing w:after="120"/>
      </w:pPr>
      <w:r>
        <w:rPr>
          <w:b/>
          <w:bCs/>
          <w:color w:val="111827"/>
        </w:rPr>
        <w:t xml:space="preserve">Refrigerant: </w:t>
      </w:r>
      <w:r>
        <w:t xml:space="preserve">Refrigerant inventory + leak-report log; tied to Scope 1 emissions calculation. Maps to GRI 305-1.</w:t>
      </w:r>
    </w:p>
    <w:p>
      <w:pPr>
        <w:spacing w:after="120"/>
      </w:pPr>
      <w:r>
        <w:rPr>
          <w:b/>
          <w:bCs/>
          <w:color w:val="111827"/>
        </w:rPr>
        <w:t xml:space="preserve">Scope 3 — purchased goods: </w:t>
      </w:r>
      <w:r>
        <w:t xml:space="preserve">Per-SKU embodied carbon estimate where supplier provides it; aggregated quarterly. Maps to GRI 305-3 + SASB FB-FR-110a.1.</w:t>
      </w:r>
    </w:p>
    <w:p>
      <w:pPr>
        <w:spacing w:after="120"/>
      </w:pPr>
      <w:r>
        <w:rPr>
          <w:b/>
          <w:bCs/>
          <w:color w:val="111827"/>
        </w:rPr>
        <w:t xml:space="preserve">Waste: </w:t>
      </w:r>
      <w:r>
        <w:t xml:space="preserve">Operator-removed packaging tonnage + diversion-rate %. Maps to GRI 306-2 + SASB FB-FR-150a.1.</w:t>
      </w:r>
    </w:p>
    <w:p>
      <w:pPr>
        <w:spacing w:after="120"/>
      </w:pPr>
      <w:r>
        <w:rPr>
          <w:b/>
          <w:bCs/>
          <w:color w:val="111827"/>
        </w:rPr>
        <w:t xml:space="preserve">Certified-product %: </w:t>
      </w:r>
      <w:r>
        <w:t xml:space="preserve">Per-quarter % of facings with each certification body. Maps to SASB FB-FR-430a.2.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Operator delivers CSV or API feed monthly to venue ESG team; integration option with Workiva, Sphera, Persefoni, or comparable ESG platform.</w:t>
      </w:r>
    </w:p>
    <w:p>
      <w:pPr>
        <w:pStyle w:val="Heading1"/>
        <w:spacing w:after="150" w:before="300"/>
      </w:pPr>
      <w:r>
        <w:t xml:space="preserve">6. Operator MSA — eco-overlay provisions</w:t>
      </w:r>
    </w:p>
    <w:p>
      <w:pPr>
        <w:spacing w:after="200"/>
      </w:pPr>
      <w:r>
        <w:t xml:space="preserve">Layer the eco-overlay onto a standard vending Master Services Agreement. Specific provisions below.</w:t>
      </w:r>
    </w:p>
    <w:p>
      <w:pPr>
        <w:spacing w:after="120"/>
      </w:pPr>
      <w:r>
        <w:rPr>
          <w:b/>
          <w:bCs/>
          <w:color w:val="111827"/>
        </w:rPr>
        <w:t xml:space="preserve">Sustainability rep + warranty: </w:t>
      </w:r>
      <w:r>
        <w:t xml:space="preserve">Operator reps + warrants ENERGY STAR + refrigerant + certified-SKU compliance; periodic re-attestation required (annual).</w:t>
      </w:r>
    </w:p>
    <w:p>
      <w:pPr>
        <w:spacing w:after="120"/>
      </w:pPr>
      <w:r>
        <w:rPr>
          <w:b/>
          <w:bCs/>
          <w:color w:val="111827"/>
        </w:rPr>
        <w:t xml:space="preserve">Audit rights: </w:t>
      </w:r>
      <w:r>
        <w:t xml:space="preserve">Venue may audit operator's ESG data feed accuracy annually; discrepancy &gt; 5% triggers operator-paid third-party audit.</w:t>
      </w:r>
    </w:p>
    <w:p>
      <w:pPr>
        <w:spacing w:after="120"/>
      </w:pPr>
      <w:r>
        <w:rPr>
          <w:b/>
          <w:bCs/>
          <w:color w:val="111827"/>
        </w:rPr>
        <w:t xml:space="preserve">Certified-SKU floor: </w:t>
      </w:r>
      <w:r>
        <w:t xml:space="preserve">Operator attests to maintaining ≥ X% certified-SKU facings; quarterly compliance audit; sustained drop &gt; 5 pts below floor triggers cure period.</w:t>
      </w:r>
    </w:p>
    <w:p>
      <w:pPr>
        <w:spacing w:after="120"/>
      </w:pPr>
      <w:r>
        <w:rPr>
          <w:b/>
          <w:bCs/>
          <w:color w:val="111827"/>
        </w:rPr>
        <w:t xml:space="preserve">FTC Green Guides compliance: </w:t>
      </w:r>
      <w:r>
        <w:t xml:space="preserve">Operator reps + warrants no false or unsubstantiated environmental claims; indemnifies venue for any FTC enforcement action arising from operator claims.</w:t>
      </w:r>
    </w:p>
    <w:p>
      <w:pPr>
        <w:spacing w:after="120"/>
      </w:pPr>
      <w:r>
        <w:rPr>
          <w:b/>
          <w:bCs/>
          <w:color w:val="111827"/>
        </w:rPr>
        <w:t xml:space="preserve">Equipment refresh + lifecycle: </w:t>
      </w:r>
      <w:r>
        <w:t xml:space="preserve">Operator commits to equipment refresh schedule (typically 7-10 years) with each refresh meeting or exceeding the ENERGY STAR + refrigerant standard at time of refresh.</w:t>
      </w:r>
    </w:p>
    <w:p>
      <w:pPr>
        <w:spacing w:after="120"/>
      </w:pPr>
      <w:r>
        <w:rPr>
          <w:b/>
          <w:bCs/>
          <w:color w:val="111827"/>
        </w:rPr>
        <w:t xml:space="preserve">Termination + transition: </w:t>
      </w:r>
      <w:r>
        <w:t xml:space="preserve">Standard termination clauses apply; eco-overlay obligations survive termination for past performance periods + ongoing reporting obligations.</w:t>
      </w:r>
    </w:p>
    <w:p>
      <w:pPr>
        <w:pStyle w:val="Heading1"/>
        <w:spacing w:after="150" w:before="300"/>
      </w:pPr>
      <w:r>
        <w:t xml:space="preserve">7. Reporting + quarterly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Monthly: per-machine kWh, transactions, basket, refund + downtime, ESG-flag SKU velocity.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certified-SKU % audit + chain-of-custody documentation review.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ESG data feed delivery + reconciliation with venue's ESG platform.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packaging-waste tonnage + diversion rate + audit photos.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Annual: full ENERGY STAR + refrigerant + certification recertification; equipment refresh planning.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Annual: contract review — certified-SKU floor reset, sustainability target update aligned with venue's net-zero or 1.5°C-aligned trajectory.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legal, environmental-compliance, or ESG-reporting advice. Environmental claims must comply with the FTC Green Guides (16 CFR Part 260) and applicable state false-advertising laws. ESG reporting frameworks evolve (GRI, SASB → ISSB, CDP, CSRD); confirm current standards with the venue's sustainability team.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Venue Eco-Vending Framework</dc:title>
  <dc:creator>LetUsVending</dc:creator>
  <dc:description>Six-dimension spec, certified-SKU curation, ESG data feed integration, operator MSA template</dc:description>
  <cp:lastModifiedBy>Un-named</cp:lastModifiedBy>
  <cp:revision>1</cp:revision>
  <dcterms:created xsi:type="dcterms:W3CDTF">2026-05-17T13:18:02.668Z</dcterms:created>
  <dcterms:modified xsi:type="dcterms:W3CDTF">2026-05-17T13:18:02.669Z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