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Emergency Vending Preparedness Framework</w:t>
      </w:r>
    </w:p>
    <w:p>
      <w:pPr>
        <w:spacing w:after="200"/>
      </w:pPr>
      <w:r>
        <w:rPr>
          <w:i/>
          <w:iCs/>
          <w:color w:val="6B7280"/>
        </w:rPr>
        <w:t xml:space="preserve">Continuity-of-vending plan, surge inventory matrix, shelter-zone map, table-top exercise</w:t>
      </w:r>
    </w:p>
    <w:p>
      <w:pPr>
        <w:spacing w:after="300"/>
      </w:pPr>
      <w:r>
        <w:t xml:space="preserve">Use this framework to integrate vending into an entertainment venue's emergency-operations plan. Each section is capability-framed and references FEMA CPG 101 (Comprehensive Preparedness Guide), NFPA 1600 (Continuity, Emergency, and Crisis Management Programs), NIMS ICS, ASTM E2876 (mass-care planning), FDA Food Code 2022 cold-chain rules, and ADA Section 308. Operator capability should be confirmed in writing before contract execution.</w:t>
      </w:r>
    </w:p>
    <w:p>
      <w:pPr>
        <w:pStyle w:val="Heading1"/>
        <w:spacing w:after="150" w:before="300"/>
      </w:pPr>
      <w:r>
        <w:t xml:space="preserve">1. Continuity of Vending Plan (CVP) template</w:t>
      </w:r>
    </w:p>
    <w:p>
      <w:pPr>
        <w:spacing w:after="200"/>
      </w:pPr>
      <w:r>
        <w:t xml:space="preserve">The Continuity of Vending Plan is a 1-3 page operator + venue agreement that describes how vending continues to operate (or is preserved as a relief asset) during an emergency. Models on FEMA CPG 101 continuity-planning structure.</w:t>
      </w:r>
    </w:p>
    <w:p>
      <w:pPr>
        <w:spacing w:after="120"/>
      </w:pPr>
      <w:r>
        <w:rPr>
          <w:b/>
          <w:bCs/>
          <w:color w:val="111827"/>
        </w:rPr>
        <w:t xml:space="preserve">Scope: </w:t>
      </w:r>
      <w:r>
        <w:t xml:space="preserve">Defines which placements are covered (front-of-house, back-of-house, shelter zone, cast-only, gate-adjacent). Specifies hazards covered (severe weather, power outage, active threat, fire, public-health event, civil unrest).</w:t>
      </w:r>
    </w:p>
    <w:p>
      <w:pPr>
        <w:spacing w:after="120"/>
      </w:pPr>
      <w:r>
        <w:rPr>
          <w:b/>
          <w:bCs/>
          <w:color w:val="111827"/>
        </w:rPr>
        <w:t xml:space="preserve">Concept of operations: </w:t>
      </w:r>
      <w:r>
        <w:t xml:space="preserve">Pre-event, during-event, post-event roles for operator + venue. Maps to NIMS ICS — operator assigns a vending liaison to the venue's Incident Command.</w:t>
      </w:r>
    </w:p>
    <w:p>
      <w:pPr>
        <w:spacing w:after="120"/>
      </w:pPr>
      <w:r>
        <w:rPr>
          <w:b/>
          <w:bCs/>
          <w:color w:val="111827"/>
        </w:rPr>
        <w:t xml:space="preserve">Restock + power: </w:t>
      </w:r>
      <w:r>
        <w:t xml:space="preserve">Pre-event restock cadence (T-72, T-24, T-0); back-up power source identification (generator circuit, UPS); refrigeration ride-through plan.</w:t>
      </w:r>
    </w:p>
    <w:p>
      <w:pPr>
        <w:spacing w:after="120"/>
      </w:pPr>
      <w:r>
        <w:rPr>
          <w:b/>
          <w:bCs/>
          <w:color w:val="111827"/>
        </w:rPr>
        <w:t xml:space="preserve">Cashless + cash continuity: </w:t>
      </w:r>
      <w:r>
        <w:t xml:space="preserve">Cashless fallback if telco/network down (offline-mode payment, cash acceptance, manual voucher). Operator should attest to offline-mode capability.</w:t>
      </w:r>
    </w:p>
    <w:p>
      <w:pPr>
        <w:spacing w:after="120"/>
      </w:pPr>
      <w:r>
        <w:rPr>
          <w:b/>
          <w:bCs/>
          <w:color w:val="111827"/>
        </w:rPr>
        <w:t xml:space="preserve">Communications: </w:t>
      </w:r>
      <w:r>
        <w:t xml:space="preserve">Operator-side contact tree (24/7 number, SMS, email); venue-side EOC notification path; resident/guest-facing comms via venue channels.</w:t>
      </w:r>
    </w:p>
    <w:p>
      <w:pPr>
        <w:spacing w:after="120"/>
      </w:pPr>
      <w:r>
        <w:rPr>
          <w:b/>
          <w:bCs/>
          <w:color w:val="111827"/>
        </w:rPr>
        <w:t xml:space="preserve">Plan review: </w:t>
      </w:r>
      <w:r>
        <w:t xml:space="preserve">Annual review co-signed by operator + venue EOC director; updates after each activation.</w:t>
      </w:r>
    </w:p>
    <w:p>
      <w:pPr>
        <w:pStyle w:val="Heading1"/>
        <w:spacing w:after="150" w:before="300"/>
      </w:pPr>
      <w:r>
        <w:t xml:space="preserve">2. Surge inventory matrix</w:t>
      </w:r>
    </w:p>
    <w:p>
      <w:pPr>
        <w:spacing w:after="200"/>
      </w:pPr>
      <w:r>
        <w:t xml:space="preserve">Pre-position SKUs that match the most-likely emergency-need profile. Water + shelf-stable calories + electrolyte are the baseline; specific SKU mix shifts by hazard.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Hazard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Water (per capita / day)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Shelf-stable cal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Electrolyte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Other</w:t>
            </w:r>
          </w:p>
        </w:tc>
      </w:tr>
      <w:tr>
        <w:tc>
          <w:p>
            <w:r>
              <w:t xml:space="preserve">Severe weather (overnight)</w:t>
            </w:r>
          </w:p>
        </w:tc>
        <w:tc>
          <w:p>
            <w:r>
              <w:t xml:space="preserve">1 gal</w:t>
            </w:r>
          </w:p>
        </w:tc>
        <w:tc>
          <w:p>
            <w:r>
              <w:t xml:space="preserve">1,500-2,000 cal</w:t>
            </w:r>
          </w:p>
        </w:tc>
        <w:tc>
          <w:p>
            <w:r>
              <w:t xml:space="preserve">8-16 oz</w:t>
            </w:r>
          </w:p>
        </w:tc>
        <w:tc>
          <w:p>
            <w:r>
              <w:t xml:space="preserve">Snack, granola, jerky, peanut butter cracker</w:t>
            </w:r>
          </w:p>
        </w:tc>
      </w:tr>
      <w:tr>
        <w:tc>
          <w:p>
            <w:r>
              <w:t xml:space="preserve">Power outage</w:t>
            </w:r>
          </w:p>
        </w:tc>
        <w:tc>
          <w:p>
            <w:r>
              <w:t xml:space="preserve">1 gal</w:t>
            </w:r>
          </w:p>
        </w:tc>
        <w:tc>
          <w:p>
            <w:r>
              <w:t xml:space="preserve">1,500-2,000 cal</w:t>
            </w:r>
          </w:p>
        </w:tc>
        <w:tc>
          <w:p>
            <w:r>
              <w:t xml:space="preserve">8-16 oz</w:t>
            </w:r>
          </w:p>
        </w:tc>
        <w:tc>
          <w:p>
            <w:r>
              <w:t xml:space="preserve">Same — emphasize non-perishable; deprioritize fresh</w:t>
            </w:r>
          </w:p>
        </w:tc>
      </w:tr>
      <w:tr>
        <w:tc>
          <w:p>
            <w:r>
              <w:t xml:space="preserve">Public-health (extended dwell)</w:t>
            </w:r>
          </w:p>
        </w:tc>
        <w:tc>
          <w:p>
            <w:r>
              <w:t xml:space="preserve">1 gal</w:t>
            </w:r>
          </w:p>
        </w:tc>
        <w:tc>
          <w:p>
            <w:r>
              <w:t xml:space="preserve">2,000 cal</w:t>
            </w:r>
          </w:p>
        </w:tc>
        <w:tc>
          <w:p>
            <w:r>
              <w:t xml:space="preserve">16 oz</w:t>
            </w:r>
          </w:p>
        </w:tc>
        <w:tc>
          <w:p>
            <w:r>
              <w:t xml:space="preserve">Allergen-tagged + dietary diversity (kosher, halal, gluten-free)</w:t>
            </w:r>
          </w:p>
        </w:tc>
      </w:tr>
      <w:tr>
        <w:tc>
          <w:p>
            <w:r>
              <w:t xml:space="preserve">Active threat / shelter-in-place</w:t>
            </w:r>
          </w:p>
        </w:tc>
        <w:tc>
          <w:p>
            <w:r>
              <w:t xml:space="preserve">0.5 gal (short duration)</w:t>
            </w:r>
          </w:p>
        </w:tc>
        <w:tc>
          <w:p>
            <w:r>
              <w:t xml:space="preserve">500-1,000 cal</w:t>
            </w:r>
          </w:p>
        </w:tc>
        <w:tc>
          <w:p>
            <w:r>
              <w:t xml:space="preserve">8 oz</w:t>
            </w:r>
          </w:p>
        </w:tc>
        <w:tc>
          <w:p>
            <w:r>
              <w:t xml:space="preserve">Quiet-pack snacks (no loud wrappers)</w:t>
            </w:r>
          </w:p>
        </w:tc>
      </w:tr>
      <w:tr>
        <w:tc>
          <w:p>
            <w:r>
              <w:t xml:space="preserve">Civil unrest / extended lockdown</w:t>
            </w:r>
          </w:p>
        </w:tc>
        <w:tc>
          <w:p>
            <w:r>
              <w:t xml:space="preserve">1 gal</w:t>
            </w:r>
          </w:p>
        </w:tc>
        <w:tc>
          <w:p>
            <w:r>
              <w:t xml:space="preserve">2,000 cal</w:t>
            </w:r>
          </w:p>
        </w:tc>
        <w:tc>
          <w:p>
            <w:r>
              <w:t xml:space="preserve">16 oz</w:t>
            </w:r>
          </w:p>
        </w:tc>
        <w:tc>
          <w:p>
            <w:r>
              <w:t xml:space="preserve">Same as public-health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Shelter-zone map + placement</w:t>
      </w:r>
    </w:p>
    <w:p>
      <w:pPr>
        <w:spacing w:after="120"/>
      </w:pPr>
      <w:r>
        <w:rPr>
          <w:b/>
          <w:bCs/>
          <w:color w:val="111827"/>
        </w:rPr>
        <w:t xml:space="preserve">Primary shelter zone: </w:t>
      </w:r>
      <w:r>
        <w:t xml:space="preserve">Locate vending within or immediately adjacent to the designated primary shelter (typically reinforced interior space — concourse, basement, gym, theater).</w:t>
      </w:r>
    </w:p>
    <w:p>
      <w:pPr>
        <w:spacing w:after="120"/>
      </w:pPr>
      <w:r>
        <w:rPr>
          <w:b/>
          <w:bCs/>
          <w:color w:val="111827"/>
        </w:rPr>
        <w:t xml:space="preserve">Secondary shelter zone: </w:t>
      </w:r>
      <w:r>
        <w:t xml:space="preserve">Vending in secondary shelter (cast areas, back-of-house) to serve staff during extended events.</w:t>
      </w:r>
    </w:p>
    <w:p>
      <w:pPr>
        <w:spacing w:after="120"/>
      </w:pPr>
      <w:r>
        <w:rPr>
          <w:b/>
          <w:bCs/>
          <w:color w:val="111827"/>
        </w:rPr>
        <w:t xml:space="preserve">Cold-chain backup: </w:t>
      </w:r>
      <w:r>
        <w:t xml:space="preserve">Identify which vending units are on the back-up power circuit (generator, UPS). FDA Food Code 3-501.19 — refrigerated foods discarded if above 41°F for &gt; 4 hours; cold-chain ride-through prevents avoidable discard.</w:t>
      </w:r>
    </w:p>
    <w:p>
      <w:pPr>
        <w:spacing w:after="120"/>
      </w:pPr>
      <w:r>
        <w:rPr>
          <w:b/>
          <w:bCs/>
          <w:color w:val="111827"/>
        </w:rPr>
        <w:t xml:space="preserve">ADA + accessibility in shelter: </w:t>
      </w:r>
      <w:r>
        <w:t xml:space="preserve">Shelter-zone vending must remain ADA Section 308 compliant (reach range, clear floor space, operating force) even during emergency operations.</w:t>
      </w:r>
    </w:p>
    <w:p>
      <w:pPr>
        <w:spacing w:after="120"/>
      </w:pPr>
      <w:r>
        <w:rPr>
          <w:b/>
          <w:bCs/>
          <w:color w:val="111827"/>
        </w:rPr>
        <w:t xml:space="preserve">Map artifact: </w:t>
      </w:r>
      <w:r>
        <w:t xml:space="preserve">Floor plan with all vending placements marked, shelter-zone overlay, generator-fed unit overlay, primary + secondary egress overlay. Updated annually; provided to venue EOC + operator.</w:t>
      </w:r>
    </w:p>
    <w:p>
      <w:pPr>
        <w:pStyle w:val="Heading1"/>
        <w:spacing w:after="150" w:before="300"/>
      </w:pPr>
      <w:r>
        <w:t xml:space="preserve">4. Table-top exercise (TTX) guide</w:t>
      </w:r>
    </w:p>
    <w:p>
      <w:pPr>
        <w:spacing w:after="200"/>
      </w:pPr>
      <w:r>
        <w:t xml:space="preserve">Run an annual table-top exercise to validate the Continuity of Vending Plan. Adapted from FEMA HSEEP (Homeland Security Exercise and Evaluation Program).</w:t>
      </w:r>
    </w:p>
    <w:p>
      <w:pPr>
        <w:spacing w:after="60" w:before="120"/>
      </w:pPr>
      <w:r>
        <w:rPr>
          <w:b/>
          <w:bCs/>
        </w:rPr>
        <w:t xml:space="preserve">1. Define exercise scope</w:t>
      </w:r>
    </w:p>
    <w:p>
      <w:pPr>
        <w:spacing w:after="120"/>
      </w:pPr>
      <w:r>
        <w:t xml:space="preserve">Pick one or two hazards (e.g., severe weather + power outage). Define exercise window (90-120 minutes), participant roster (venue EOC, operator vending liaison, facilities, food safety, comms).</w:t>
      </w:r>
    </w:p>
    <w:p>
      <w:pPr>
        <w:spacing w:after="60" w:before="120"/>
      </w:pPr>
      <w:r>
        <w:rPr>
          <w:b/>
          <w:bCs/>
        </w:rPr>
        <w:t xml:space="preserve">2. Set the scenario</w:t>
      </w:r>
    </w:p>
    <w:p>
      <w:pPr>
        <w:spacing w:after="120"/>
      </w:pPr>
      <w:r>
        <w:t xml:space="preserve">Realistic scenario with injects (e.g., 'Storm forecast 72 hours out → power outage hour 6 → 8 hours of refrigeration loss → public-info request'). Distribute scenario brief 48 hours before TTX.</w:t>
      </w:r>
    </w:p>
    <w:p>
      <w:pPr>
        <w:spacing w:after="60" w:before="120"/>
      </w:pPr>
      <w:r>
        <w:rPr>
          <w:b/>
          <w:bCs/>
        </w:rPr>
        <w:t xml:space="preserve">3. Inject 1 — pre-event</w:t>
      </w:r>
    </w:p>
    <w:p>
      <w:pPr>
        <w:spacing w:after="120"/>
      </w:pPr>
      <w:r>
        <w:t xml:space="preserve">T-24: pre-event restock + back-up power confirmation. Discuss decision points + resource gaps.</w:t>
      </w:r>
    </w:p>
    <w:p>
      <w:pPr>
        <w:spacing w:after="60" w:before="120"/>
      </w:pPr>
      <w:r>
        <w:rPr>
          <w:b/>
          <w:bCs/>
        </w:rPr>
        <w:t xml:space="preserve">4. Inject 2 — during event</w:t>
      </w:r>
    </w:p>
    <w:p>
      <w:pPr>
        <w:spacing w:after="120"/>
      </w:pPr>
      <w:r>
        <w:t xml:space="preserve">Power outage hour 3: cold-chain ride-through monitoring; cashless offline-mode activation; comms to staff + guests.</w:t>
      </w:r>
    </w:p>
    <w:p>
      <w:pPr>
        <w:spacing w:after="60" w:before="120"/>
      </w:pPr>
      <w:r>
        <w:rPr>
          <w:b/>
          <w:bCs/>
        </w:rPr>
        <w:t xml:space="preserve">5. Inject 3 — post-event</w:t>
      </w:r>
    </w:p>
    <w:p>
      <w:pPr>
        <w:spacing w:after="120"/>
      </w:pPr>
      <w:r>
        <w:t xml:space="preserve">Power restored hour 14: cold-chain assessment + product discard decisions per FDA Food Code 3-501.19; restock cadence; refund / complaint flow.</w:t>
      </w:r>
    </w:p>
    <w:p>
      <w:pPr>
        <w:spacing w:after="60" w:before="120"/>
      </w:pPr>
      <w:r>
        <w:rPr>
          <w:b/>
          <w:bCs/>
        </w:rPr>
        <w:t xml:space="preserve">6. After-action review (AAR)</w:t>
      </w:r>
    </w:p>
    <w:p>
      <w:pPr>
        <w:spacing w:after="120"/>
      </w:pPr>
      <w:r>
        <w:t xml:space="preserve">Capture gaps, owners, due dates. Update Continuity of Vending Plan within 30 days. AAR retained in venue + operator files for 3 years per NFPA 1600 best practice.</w:t>
      </w:r>
    </w:p>
    <w:p>
      <w:pPr>
        <w:pStyle w:val="Heading1"/>
        <w:spacing w:after="150" w:before="300"/>
      </w:pPr>
      <w:r>
        <w:t xml:space="preserve">5.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assigning a vending liaison to the venue's Emergency Operations Center / Incident Command during activations.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a 24/7/365 emergency contact number with ≤ 1 hour response time during active emergencies.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offline-mode cashless capability (transaction queued, settled on reconnection) and cash-fallback capability for at least 1 unit per shelter zone.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pre-positioned surge inventory ≥ 50% above baseline for hazard-season placements (tornado, hurricane, wildfire seasons by region).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FDA Food Code 3-501.19 cold-chain discard procedure + restock SLA after a power-outage event (target ≤ 24 hours from power restoration).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$5M general liability + product liability, additional-insured endorsement to venue, and a written CVP signed by operator + venue EOC director.</w:t>
      </w:r>
    </w:p>
    <w:p>
      <w:pPr>
        <w:pStyle w:val="Heading1"/>
        <w:spacing w:after="150" w:before="300"/>
      </w:pPr>
      <w:r>
        <w:t xml:space="preserve">6. Pricing + free-vend during emergencies</w:t>
      </w:r>
    </w:p>
    <w:p>
      <w:pPr>
        <w:spacing w:after="120"/>
      </w:pPr>
      <w:r>
        <w:rPr>
          <w:b/>
          <w:bCs/>
          <w:color w:val="111827"/>
        </w:rPr>
        <w:t xml:space="preserve">Free-vend authorization: </w:t>
      </w:r>
      <w:r>
        <w:t xml:space="preserve">Venue EOC director may authorize free-vend during a declared emergency; operator implements via remote-disable of payment requirement or operator-side over-ride code.</w:t>
      </w:r>
    </w:p>
    <w:p>
      <w:pPr>
        <w:spacing w:after="120"/>
      </w:pPr>
      <w:r>
        <w:rPr>
          <w:b/>
          <w:bCs/>
          <w:color w:val="111827"/>
        </w:rPr>
        <w:t xml:space="preserve">Price-gouging compliance: </w:t>
      </w:r>
      <w:r>
        <w:t xml:space="preserve">Most states prohibit price-gouging during declared emergencies (state attorney general jurisdiction). Operator commits in CVP to no price increase during declared emergencies; reduces enforcement and reputational risk.</w:t>
      </w:r>
    </w:p>
    <w:p>
      <w:pPr>
        <w:spacing w:after="120"/>
      </w:pPr>
      <w:r>
        <w:rPr>
          <w:b/>
          <w:bCs/>
          <w:color w:val="111827"/>
        </w:rPr>
        <w:t xml:space="preserve">Cost recovery: </w:t>
      </w:r>
      <w:r>
        <w:t xml:space="preserve">Venue + operator pre-agree on cost recovery for free-vend periods (operator absorbs to a defined ceiling; venue underwrites above ceiling).</w:t>
      </w:r>
    </w:p>
    <w:p>
      <w:pPr>
        <w:spacing w:after="120"/>
      </w:pPr>
      <w:r>
        <w:rPr>
          <w:b/>
          <w:bCs/>
          <w:color w:val="111827"/>
        </w:rPr>
        <w:t xml:space="preserve">Documentation: </w:t>
      </w:r>
      <w:r>
        <w:t xml:space="preserve">Operator logs all free-vend transactions with venue authorization timestamp; preserves for audit + insurance recovery.</w:t>
      </w:r>
    </w:p>
    <w:p>
      <w:pPr>
        <w:pStyle w:val="Heading1"/>
        <w:spacing w:after="150" w:before="300"/>
      </w:pPr>
      <w:r>
        <w:t xml:space="preserve">7. Reporting + post-event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During event: hourly status report from operator vending liaison to venue EOC (uptime, inventory level, cold-chain status).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Post-event: 24-hour rapid AAR; 14-day full AAR with operator + venue debrief.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Discard report per FDA Food Code 3-501.19 (cold-chain failure documentation, product discarded, refund volume).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claim filing within carrier-specified window (typically 30 days for property-damage; 60 days for business-interruption).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 update + sign-off within 30 days; refresh of TTX schedule.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legal, emergency-management, or food-safety advice. Emergency response is governed by NIMS, the venue's emergency operations plan, and applicable local + state + federal authorities. Confirm operator capability and CVP execution before relying on vending as part of the emergency response plan.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Vending Preparedness Framework</dc:title>
  <dc:creator>LetUsVending</dc:creator>
  <dc:description>Continuity-of-vending plan, surge inventory matrix, shelter-zone map, table-top exercise</dc:description>
  <cp:lastModifiedBy>Un-named</cp:lastModifiedBy>
  <cp:revision>1</cp:revision>
  <dcterms:created xsi:type="dcterms:W3CDTF">2026-05-17T13:18:02.924Z</dcterms:created>
  <dcterms:modified xsi:type="dcterms:W3CDTF">2026-05-17T13:18:02.925Z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