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Employee Vending Feedback Framework</w:t>
      </w:r>
    </w:p>
    <w:p>
      <w:pPr>
        <w:spacing w:after="200"/>
      </w:pPr>
      <w:r>
        <w:rPr>
          <w:i/>
          <w:iCs/>
          <w:color w:val="6B7280"/>
        </w:rPr>
        <w:t xml:space="preserve">Five-mechanism infrastructure, operator MSA capability matrix, and QBR agenda</w:t>
      </w:r>
    </w:p>
    <w:p>
      <w:pPr>
        <w:spacing w:after="300"/>
      </w:pPr>
      <w:r>
        <w:t xml:space="preserve">Use this framework to build a feedback infrastructure that drives planogram fit and operator accountability — not a one-time survey that goes nowhere. Each mechanism below is contractually attestable; the QBR agenda turns feedback into action items with owners + due dates.</w:t>
      </w:r>
    </w:p>
    <w:p>
      <w:pPr>
        <w:pStyle w:val="Heading1"/>
        <w:spacing w:after="150" w:before="300"/>
      </w:pPr>
      <w:r>
        <w:t xml:space="preserve">Five feedback mechanisms</w:t>
      </w:r>
    </w:p>
    <w:p>
      <w:pPr>
        <w:spacing w:after="200"/>
      </w:pPr>
      <w:r>
        <w:t xml:space="preserve">Best-in-class office vending programs run all five mechanisms simultaneously. Single-channel feedback (e.g., once-a-year survey) reliably underrepresents stockout pain and overrepresents pricing complaints.</w:t>
      </w:r>
    </w:p>
    <w:p>
      <w:pPr>
        <w:spacing w:after="60" w:before="120"/>
      </w:pPr>
      <w:r>
        <w:rPr>
          <w:b/>
          <w:bCs/>
        </w:rPr>
        <w:t xml:space="preserve">1. Per-SKU velocity telemetry</w:t>
      </w:r>
    </w:p>
    <w:p>
      <w:pPr>
        <w:spacing w:after="120"/>
      </w:pPr>
      <w:r>
        <w:t xml:space="preserve">Cantaloupe, Nayax, 365 Retail Markets, AWM — sub-15-minute heartbeat. The single most reliable signal of what employees actually want is what they actually buy.</w:t>
      </w:r>
    </w:p>
    <w:p>
      <w:pPr>
        <w:spacing w:after="60" w:before="120"/>
      </w:pPr>
      <w:r>
        <w:rPr>
          <w:b/>
          <w:bCs/>
        </w:rPr>
        <w:t xml:space="preserve">2. Stockout-incident log</w:t>
      </w:r>
    </w:p>
    <w:p>
      <w:pPr>
        <w:spacing w:after="120"/>
      </w:pPr>
      <w:r>
        <w:t xml:space="preserve">Operator logs every sold-out SKU at restock with reason code (over-velocity, missed restock, supplier shortage). Stockouts of top-quartile SKUs &gt; 3x per month means planogram is mis-sized.</w:t>
      </w:r>
    </w:p>
    <w:p>
      <w:pPr>
        <w:spacing w:after="60" w:before="120"/>
      </w:pPr>
      <w:r>
        <w:rPr>
          <w:b/>
          <w:bCs/>
        </w:rPr>
        <w:t xml:space="preserve">3. Refund-volume + reason-code report</w:t>
      </w:r>
    </w:p>
    <w:p>
      <w:pPr>
        <w:spacing w:after="120"/>
      </w:pPr>
      <w:r>
        <w:t xml:space="preserve">Refunds &gt; 2% of transactions signals product-quality or machine-quality issue. Refund reason codes (didn't drop, expired, wrong product) tell you which.</w:t>
      </w:r>
    </w:p>
    <w:p>
      <w:pPr>
        <w:spacing w:after="60" w:before="120"/>
      </w:pPr>
      <w:r>
        <w:rPr>
          <w:b/>
          <w:bCs/>
        </w:rPr>
        <w:t xml:space="preserve">4. In-app / on-machine request channel</w:t>
      </w:r>
    </w:p>
    <w:p>
      <w:pPr>
        <w:spacing w:after="120"/>
      </w:pPr>
      <w:r>
        <w:t xml:space="preserve">Modern card readers + apps include a 'request a product' button. Operator triages requests monthly; top-3 requested SKUs added to planogram for 60-day trial.</w:t>
      </w:r>
    </w:p>
    <w:p>
      <w:pPr>
        <w:spacing w:after="60" w:before="120"/>
      </w:pPr>
      <w:r>
        <w:rPr>
          <w:b/>
          <w:bCs/>
        </w:rPr>
        <w:t xml:space="preserve">5. Quarterly employee survey</w:t>
      </w:r>
    </w:p>
    <w:p>
      <w:pPr>
        <w:spacing w:after="120"/>
      </w:pPr>
      <w:r>
        <w:t xml:space="preserve">Short (3-5 questions): satisfaction, top complaint, top wished-for item. Run as a host-branded survey; share results with operator in the QBR.</w:t>
      </w:r>
    </w:p>
    <w:p>
      <w:pPr>
        <w:pStyle w:val="Heading1"/>
        <w:spacing w:after="150" w:before="300"/>
      </w:pPr>
      <w:r>
        <w:t xml:space="preserve">Operator MSA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Required in MSA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Per-SKU velocity reporting (weekly)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Delivered as a CSV or dashboard.</w:t>
            </w:r>
          </w:p>
        </w:tc>
      </w:tr>
      <w:tr>
        <w:tc>
          <w:p>
            <w:r>
              <w:t xml:space="preserve">Stockout-incident log (monthly)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With reason codes.</w:t>
            </w:r>
          </w:p>
        </w:tc>
      </w:tr>
      <w:tr>
        <w:tc>
          <w:p>
            <w:r>
              <w:t xml:space="preserve">Refund-volume + reason-code report (monthly)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Refund rate KPI in MSA.</w:t>
            </w:r>
          </w:p>
        </w:tc>
      </w:tr>
      <w:tr>
        <w:tc>
          <w:p>
            <w:r>
              <w:t xml:space="preserve">In-app / on-machine request capture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Many telemetry platforms support this natively.</w:t>
            </w:r>
          </w:p>
        </w:tc>
      </w:tr>
      <w:tr>
        <w:tc>
          <w:p>
            <w:r>
              <w:t xml:space="preserve">Planogram refresh based on feedback (45-60 day cadence)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Operator commits to refresh cadence.</w:t>
            </w:r>
          </w:p>
        </w:tc>
      </w:tr>
      <w:tr>
        <w:tc>
          <w:p>
            <w:r>
              <w:t xml:space="preserve">QBR with feedback action-item review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Quarterly cadence; written minutes.</w:t>
            </w:r>
          </w:p>
        </w:tc>
      </w:tr>
      <w:tr>
        <w:tc>
          <w:p>
            <w:r>
              <w:t xml:space="preserve">Survey distribution support</w:t>
            </w:r>
          </w:p>
        </w:tc>
        <w:tc>
          <w:p>
            <w:r>
              <w:t xml:space="preserve">Preferred</w:t>
            </w:r>
          </w:p>
        </w:tc>
        <w:tc>
          <w:p>
            <w:r>
              <w:t xml:space="preserve">Operator can sponsor survey hosting + analysis.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QBR agenda template (60 minutes)</w:t>
      </w:r>
    </w:p>
    <w:p>
      <w:pPr>
        <w:spacing w:after="60" w:before="120"/>
      </w:pPr>
      <w:r>
        <w:rPr>
          <w:b/>
          <w:bCs/>
        </w:rPr>
        <w:t xml:space="preserve">1. Last quarter scorecard (10 min)</w:t>
      </w:r>
    </w:p>
    <w:p>
      <w:pPr>
        <w:spacing w:after="120"/>
      </w:pPr>
      <w:r>
        <w:t xml:space="preserve">Uptime, stockout incidents, refund rate, service SLA adherence vs MSA targets.</w:t>
      </w:r>
    </w:p>
    <w:p>
      <w:pPr>
        <w:spacing w:after="60" w:before="120"/>
      </w:pPr>
      <w:r>
        <w:rPr>
          <w:b/>
          <w:bCs/>
        </w:rPr>
        <w:t xml:space="preserve">2. Per-SKU velocity review (15 min)</w:t>
      </w:r>
    </w:p>
    <w:p>
      <w:pPr>
        <w:spacing w:after="120"/>
      </w:pPr>
      <w:r>
        <w:t xml:space="preserve">Top 10 + bottom 10 SKUs by velocity. Decision: drop bottom 5, expand top 3 facings.</w:t>
      </w:r>
    </w:p>
    <w:p>
      <w:pPr>
        <w:spacing w:after="60" w:before="120"/>
      </w:pPr>
      <w:r>
        <w:rPr>
          <w:b/>
          <w:bCs/>
        </w:rPr>
        <w:t xml:space="preserve">3. Stockout + refund deep-dive (10 min)</w:t>
      </w:r>
    </w:p>
    <w:p>
      <w:pPr>
        <w:spacing w:after="120"/>
      </w:pPr>
      <w:r>
        <w:t xml:space="preserve">Root cause for top 3 stockout incidents and any reason-code spike in refunds.</w:t>
      </w:r>
    </w:p>
    <w:p>
      <w:pPr>
        <w:spacing w:after="60" w:before="120"/>
      </w:pPr>
      <w:r>
        <w:rPr>
          <w:b/>
          <w:bCs/>
        </w:rPr>
        <w:t xml:space="preserve">4. Employee request review (10 min)</w:t>
      </w:r>
    </w:p>
    <w:p>
      <w:pPr>
        <w:spacing w:after="120"/>
      </w:pPr>
      <w:r>
        <w:t xml:space="preserve">Top 3 in-app / survey requests; commit to 60-day trial on top 2.</w:t>
      </w:r>
    </w:p>
    <w:p>
      <w:pPr>
        <w:spacing w:after="60" w:before="120"/>
      </w:pPr>
      <w:r>
        <w:rPr>
          <w:b/>
          <w:bCs/>
        </w:rPr>
        <w:t xml:space="preserve">5. Planogram refresh decision (10 min)</w:t>
      </w:r>
    </w:p>
    <w:p>
      <w:pPr>
        <w:spacing w:after="120"/>
      </w:pPr>
      <w:r>
        <w:t xml:space="preserve">Net change to SKU list; effective date; communication to employees.</w:t>
      </w:r>
    </w:p>
    <w:p>
      <w:pPr>
        <w:spacing w:after="60" w:before="120"/>
      </w:pPr>
      <w:r>
        <w:rPr>
          <w:b/>
          <w:bCs/>
        </w:rPr>
        <w:t xml:space="preserve">6. Action items (5 min)</w:t>
      </w:r>
    </w:p>
    <w:p>
      <w:pPr>
        <w:spacing w:after="120"/>
      </w:pPr>
      <w:r>
        <w:t xml:space="preserve">Owner + due date for each item; carry forward to next QBR.</w:t>
      </w:r>
    </w:p>
    <w:p>
      <w:pPr>
        <w:pStyle w:val="Heading1"/>
        <w:spacing w:after="150" w:before="300"/>
      </w:pPr>
      <w:r>
        <w:t xml:space="preserve">Sample monthly metrics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MSA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Last month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Trend</w:t>
            </w:r>
          </w:p>
        </w:tc>
      </w:tr>
      <w:tr>
        <w:tc>
          <w:p>
            <w:r>
              <w:t xml:space="preserve">Uptime</w:t>
            </w:r>
          </w:p>
        </w:tc>
        <w:tc>
          <w:p>
            <w:r>
              <w:t xml:space="preserve">≥ 98%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Stockout incidents per machine</w:t>
            </w:r>
          </w:p>
        </w:tc>
        <w:tc>
          <w:p>
            <w:r>
              <w:t xml:space="preserve">&lt; 3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Refund rate (% of transactions)</w:t>
            </w:r>
          </w:p>
        </w:tc>
        <w:tc>
          <w:p>
            <w:r>
              <w:t xml:space="preserve">&lt; 2%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Tier-1 service SLA adherence</w:t>
            </w:r>
          </w:p>
        </w:tc>
        <w:tc>
          <w:p>
            <w:r>
              <w:t xml:space="preserve">≥ 95% &lt; 24 hours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Top-10 SKU coverage at audit</w:t>
            </w:r>
          </w:p>
        </w:tc>
        <w:tc>
          <w:p>
            <w:r>
              <w:t xml:space="preserve">≥ 95%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Velocity-driven planogram refresh</w:t>
            </w:r>
          </w:p>
        </w:tc>
        <w:tc>
          <w:p>
            <w:r>
              <w:t xml:space="preserve">Every 60 days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Common pitfalls (and how to avoid them)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Survey-only feedback — runs annual, ignores stockout pain. Pair with telemetry from day 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reason codes on refunds — operator can't fix what isn't categorized.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changes without comms — employees don't know new SKUs exist. Use signage + email/Slack.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without action items — meeting becomes social. Owner + due date on every line.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pushes back on velocity sharing — non-starter. Velocity transparency is industry-standard in 2025.</w:t>
      </w:r>
    </w:p>
    <w:p>
      <w:pPr>
        <w:spacing w:before="400"/>
      </w:pPr>
      <w:r>
        <w:rPr>
          <w:i/>
          <w:iCs/>
          <w:color w:val="6B7280"/>
        </w:rPr>
        <w:t xml:space="preserve">This framework is operational guidance for host-side facility + HR teams. Adapt cadence and KPIs to your headcount and breakroom footprint.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Vending Feedback Framework</dc:title>
  <dc:creator>LetUsVending</dc:creator>
  <dc:description>Five-mechanism infrastructure, operator MSA capability matrix, and QBR agenda</dc:description>
  <cp:lastModifiedBy>Un-named</cp:lastModifiedBy>
  <cp:revision>1</cp:revision>
  <dcterms:created xsi:type="dcterms:W3CDTF">2026-05-17T13:18:02.967Z</dcterms:created>
  <dcterms:modified xsi:type="dcterms:W3CDTF">2026-05-17T13:18:02.968Z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