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Campus Green-Vending RFP Template</w:t>
      </w:r>
    </w:p>
    <w:p>
      <w:pPr>
        <w:spacing w:after="200"/>
      </w:pPr>
      <w:r>
        <w:rPr>
          <w:i/>
          <w:iCs/>
          <w:color w:val="6B7280"/>
        </w:rPr>
        <w:t xml:space="preserve">Sustainability specification, AASHE STARS reporting alignment, and bonus structures for university procurement</w:t>
      </w:r>
    </w:p>
    <w:p>
      <w:pPr>
        <w:spacing w:after="300"/>
      </w:pPr>
      <w:r>
        <w:t xml:space="preserve">University green-vending RFPs are increasingly scored on AASHE STARS (Sustainability Tracking, Assessment &amp; Rating System) credit alignment, Scope 3 emissions reduction commitments under the Second Nature Carbon Commitment, and packaging-waste reduction tied to the institution's zero-waste goals. This RFP template gives the sustainability office, procurement, and auxiliary services a defensible green-vending RFP with explicit sustainability spec, STARS reporting alignment, and a bonus structure that rewards operators who exceed minimum sustainability targets.</w:t>
      </w:r>
    </w:p>
    <w:p>
      <w:pPr>
        <w:pStyle w:val="Heading1"/>
        <w:spacing w:after="150" w:before="300"/>
      </w:pPr>
      <w:r>
        <w:t xml:space="preserve">1. RFP scope + AASHE STARS alignment</w:t>
      </w:r>
    </w:p>
    <w:p>
      <w:pPr>
        <w:spacing w:after="200"/>
      </w:pPr>
      <w:r>
        <w:t xml:space="preserve">Vending sustainability touches multiple AASHE STARS credit areas. The RFP scope should reference each credit explicitly so the operator response can be scored against STARS reporting requirements.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AASHE STARS credit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Vending contribution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response required</w:t>
            </w:r>
          </w:p>
        </w:tc>
      </w:tr>
      <w:tr>
        <w:tc>
          <w:p>
            <w:r>
              <w:t xml:space="preserve">OP-5: Building Energy Use</w:t>
            </w:r>
          </w:p>
        </w:tc>
        <w:tc>
          <w:p>
            <w:r>
              <w:t xml:space="preserve">ENERGY STAR machines reduce per-device energy 30-50%</w:t>
            </w:r>
          </w:p>
        </w:tc>
        <w:tc>
          <w:p>
            <w:r>
              <w:t xml:space="preserve">ENERGY STAR fleet % + kWh per device baseline</w:t>
            </w:r>
          </w:p>
        </w:tc>
      </w:tr>
      <w:tr>
        <w:tc>
          <w:p>
            <w:r>
              <w:t xml:space="preserve">OP-6: Clean and Renewable Energy</w:t>
            </w:r>
          </w:p>
        </w:tc>
        <w:tc>
          <w:p>
            <w:r>
              <w:t xml:space="preserve">Renewable-energy-powered route fleet or operations facility</w:t>
            </w:r>
          </w:p>
        </w:tc>
        <w:tc>
          <w:p>
            <w:r>
              <w:t xml:space="preserve">Renewable energy % of operator operations</w:t>
            </w:r>
          </w:p>
        </w:tc>
      </w:tr>
      <w:tr>
        <w:tc>
          <w:p>
            <w:r>
              <w:t xml:space="preserve">OP-7: Food + Beverage Purchasing</w:t>
            </w:r>
          </w:p>
        </w:tc>
        <w:tc>
          <w:p>
            <w:r>
              <w:t xml:space="preserve">Local + organic + fair-trade SKUs in planogram</w:t>
            </w:r>
          </w:p>
        </w:tc>
        <w:tc>
          <w:p>
            <w:r>
              <w:t xml:space="preserve">Local/organic/fair-trade SKU share, by category</w:t>
            </w:r>
          </w:p>
        </w:tc>
      </w:tr>
      <w:tr>
        <w:tc>
          <w:p>
            <w:r>
              <w:t xml:space="preserve">OP-18: Waste Minimization + Diversion</w:t>
            </w:r>
          </w:p>
        </w:tc>
        <w:tc>
          <w:p>
            <w:r>
              <w:t xml:space="preserve">Recyclable packaging share + machine-side recycling</w:t>
            </w:r>
          </w:p>
        </w:tc>
        <w:tc>
          <w:p>
            <w:r>
              <w:t xml:space="preserve">Packaging recyclability % + on-route diversion %</w:t>
            </w:r>
          </w:p>
        </w:tc>
      </w:tr>
      <w:tr>
        <w:tc>
          <w:p>
            <w:r>
              <w:t xml:space="preserve">OP-22: Outdoor Air Quality (Refrigerants)</w:t>
            </w:r>
          </w:p>
        </w:tc>
        <w:tc>
          <w:p>
            <w:r>
              <w:t xml:space="preserve">AIM Act compliant refrigerants, HFC phase-down</w:t>
            </w:r>
          </w:p>
        </w:tc>
        <w:tc>
          <w:p>
            <w:r>
              <w:t xml:space="preserve">Refrigerant type per refrigerated device + transition plan</w:t>
            </w:r>
          </w:p>
        </w:tc>
      </w:tr>
      <w:tr>
        <w:tc>
          <w:p>
            <w:r>
              <w:t xml:space="preserve">AC-9: Research (Living Lab)</w:t>
            </w:r>
          </w:p>
        </w:tc>
        <w:tc>
          <w:p>
            <w:r>
              <w:t xml:space="preserve">Telemetry data shared for student research</w:t>
            </w:r>
          </w:p>
        </w:tc>
        <w:tc>
          <w:p>
            <w:r>
              <w:t xml:space="preserve">Data-sharing arrangement for sustainability research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Equipment sustainability specification</w:t>
      </w:r>
    </w:p>
    <w:p>
      <w:pPr>
        <w:spacing w:after="200"/>
      </w:pPr>
      <w:r>
        <w:t xml:space="preserve">Specify the equipment sustainability requirement at the SKU level. Operators that cannot meet these gating items are disqualified before scoring begins.</w:t>
      </w:r>
    </w:p>
    <w:p>
      <w:pPr>
        <w:spacing w:after="60" w:before="120"/>
      </w:pPr>
      <w:r>
        <w:rPr>
          <w:b/>
          <w:bCs/>
        </w:rPr>
        <w:t xml:space="preserve">1. ENERGY STAR certification</w:t>
      </w:r>
    </w:p>
    <w:p>
      <w:pPr>
        <w:spacing w:after="120"/>
      </w:pPr>
      <w:r>
        <w:t xml:space="preserve">100% of refrigerated vending machines installed under this contract must be ENERGY STAR certified per the ENERGY STAR Refrigerated Beverage Vending Machines specification (current version). New deployments only; existing machines covered by refresh schedule.</w:t>
      </w:r>
    </w:p>
    <w:p>
      <w:pPr>
        <w:spacing w:after="60" w:before="120"/>
      </w:pPr>
      <w:r>
        <w:rPr>
          <w:b/>
          <w:bCs/>
        </w:rPr>
        <w:t xml:space="preserve">2. Refrigerant compliance</w:t>
      </w:r>
    </w:p>
    <w:p>
      <w:pPr>
        <w:spacing w:after="120"/>
      </w:pPr>
      <w:r>
        <w:t xml:space="preserve">All refrigerated devices use AIM Act-compliant refrigerants (R-290 propane, R-454C, or R-513A as of 2026 phase-down schedule). Disclose refrigerant type per device with the response.</w:t>
      </w:r>
    </w:p>
    <w:p>
      <w:pPr>
        <w:spacing w:after="60" w:before="120"/>
      </w:pPr>
      <w:r>
        <w:rPr>
          <w:b/>
          <w:bCs/>
        </w:rPr>
        <w:t xml:space="preserve">3. LED illumination</w:t>
      </w:r>
    </w:p>
    <w:p>
      <w:pPr>
        <w:spacing w:after="120"/>
      </w:pPr>
      <w:r>
        <w:t xml:space="preserve">100% LED lighting on all installed devices. No CFL or halogen interior or exterior illumination.</w:t>
      </w:r>
    </w:p>
    <w:p>
      <w:pPr>
        <w:spacing w:after="60" w:before="120"/>
      </w:pPr>
      <w:r>
        <w:rPr>
          <w:b/>
          <w:bCs/>
        </w:rPr>
        <w:t xml:space="preserve">4. Low-power standby</w:t>
      </w:r>
    </w:p>
    <w:p>
      <w:pPr>
        <w:spacing w:after="120"/>
      </w:pPr>
      <w:r>
        <w:t xml:space="preserve">Refrigerated devices support low-power standby mode during overnight hours where occupancy data supports it; verified per ENERGY STAR spec.</w:t>
      </w:r>
    </w:p>
    <w:p>
      <w:pPr>
        <w:spacing w:after="60" w:before="120"/>
      </w:pPr>
      <w:r>
        <w:rPr>
          <w:b/>
          <w:bCs/>
        </w:rPr>
        <w:t xml:space="preserve">5. Telemetry-driven route optimization</w:t>
      </w:r>
    </w:p>
    <w:p>
      <w:pPr>
        <w:spacing w:after="120"/>
      </w:pPr>
      <w:r>
        <w:t xml:space="preserve">Cellular telemetry on 100% of devices; restock routes optimized weekly using telemetry-driven demand signals (Cantaloupe, Nayax, 365 Retail Markets, AWM Smart Shelf, or comparable platform).</w:t>
      </w:r>
    </w:p>
    <w:p>
      <w:pPr>
        <w:pStyle w:val="Heading1"/>
        <w:spacing w:after="150" w:before="300"/>
      </w:pPr>
      <w:r>
        <w:t xml:space="preserve">3. Planogram sustainability requirement</w:t>
      </w:r>
    </w:p>
    <w:p>
      <w:pPr>
        <w:spacing w:after="200"/>
      </w:pPr>
      <w:r>
        <w:t xml:space="preserve">Campus dining sustainability programs typically commit to local, organic, fair-trade, and recyclable-packaging targets. Vending planogram must align.</w:t>
      </w:r>
    </w:p>
    <w:p>
      <w:pPr>
        <w:spacing w:after="120"/>
      </w:pPr>
      <w:r>
        <w:rPr>
          <w:b/>
          <w:bCs/>
          <w:color w:val="111827"/>
        </w:rPr>
        <w:t xml:space="preserve">Local SKU share: </w:t>
      </w:r>
      <w:r>
        <w:t xml:space="preserve">≥ 15% of SKU units sold sourced within the state (or within 250 miles where the institution defines 'local' differently). Tracked quarterly.</w:t>
      </w:r>
    </w:p>
    <w:p>
      <w:pPr>
        <w:spacing w:after="120"/>
      </w:pPr>
      <w:r>
        <w:rPr>
          <w:b/>
          <w:bCs/>
          <w:color w:val="111827"/>
        </w:rPr>
        <w:t xml:space="preserve">Organic + certified-sustainable SKU share: </w:t>
      </w:r>
      <w:r>
        <w:t xml:space="preserve">≥ 10% of SKU units USDA Organic, Rainforest Alliance, Fair Trade USA, or Marine Stewardship Council certified. Tracked quarterly.</w:t>
      </w:r>
    </w:p>
    <w:p>
      <w:pPr>
        <w:spacing w:after="120"/>
      </w:pPr>
      <w:r>
        <w:rPr>
          <w:b/>
          <w:bCs/>
          <w:color w:val="111827"/>
        </w:rPr>
        <w:t xml:space="preserve">Recyclable packaging share: </w:t>
      </w:r>
      <w:r>
        <w:t xml:space="preserve">≥ 80% of SKU primary packaging is recyclable or compostable per the institution's hauler-accepted materials list. Tracked quarterly.</w:t>
      </w:r>
    </w:p>
    <w:p>
      <w:pPr>
        <w:spacing w:after="120"/>
      </w:pPr>
      <w:r>
        <w:rPr>
          <w:b/>
          <w:bCs/>
          <w:color w:val="111827"/>
        </w:rPr>
        <w:t xml:space="preserve">Beverage container alignment: </w:t>
      </w:r>
      <w:r>
        <w:t xml:space="preserve">Aluminum + PET preferred; tetra-pak only where institution recycling stream accepts; no polystyrene or non-recyclable laminates.</w:t>
      </w:r>
    </w:p>
    <w:p>
      <w:pPr>
        <w:spacing w:after="120"/>
      </w:pPr>
      <w:r>
        <w:rPr>
          <w:b/>
          <w:bCs/>
          <w:color w:val="111827"/>
        </w:rPr>
        <w:t xml:space="preserve">Allergen + ingredient transparency: </w:t>
      </w:r>
      <w:r>
        <w:t xml:space="preserve">FALCPA-compliant allergen labeling on every SKU; allergen summary signage on the machine face; ingredient list available via QR code where supported.</w:t>
      </w:r>
    </w:p>
    <w:p>
      <w:pPr>
        <w:pStyle w:val="Heading1"/>
        <w:spacing w:after="150" w:before="300"/>
      </w:pPr>
      <w:r>
        <w:t xml:space="preserve">4. Bonus structure — performance-based incentives</w:t>
      </w:r>
    </w:p>
    <w:p>
      <w:pPr>
        <w:spacing w:after="200"/>
      </w:pPr>
      <w:r>
        <w:t xml:space="preserve">Universities increasingly use bonus structures that reward operators who exceed minimum targets. Bonuses are funded from the operator's commission rate or from a separate sustainability fund.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Bonus tier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Threshold for bonus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Bonus amount (illustrative)</w:t>
            </w:r>
          </w:p>
        </w:tc>
      </w:tr>
      <w:tr>
        <w:tc>
          <w:p>
            <w:r>
              <w:t xml:space="preserve">Tier 1 — Energy</w:t>
            </w:r>
          </w:p>
        </w:tc>
        <w:tc>
          <w:p>
            <w:r>
              <w:t xml:space="preserve">kWh per device per year</w:t>
            </w:r>
          </w:p>
        </w:tc>
        <w:tc>
          <w:p>
            <w:r>
              <w:t xml:space="preserve">≥ 20% below ENERGY STAR baseline</w:t>
            </w:r>
          </w:p>
        </w:tc>
        <w:tc>
          <w:p>
            <w:r>
              <w:t xml:space="preserve">1% commission rate increase</w:t>
            </w:r>
          </w:p>
        </w:tc>
      </w:tr>
      <w:tr>
        <w:tc>
          <w:p>
            <w:r>
              <w:t xml:space="preserve">Tier 2 — Packaging</w:t>
            </w:r>
          </w:p>
        </w:tc>
        <w:tc>
          <w:p>
            <w:r>
              <w:t xml:space="preserve">Recyclable packaging share</w:t>
            </w:r>
          </w:p>
        </w:tc>
        <w:tc>
          <w:p>
            <w:r>
              <w:t xml:space="preserve">≥ 90% (above the 80% floor)</w:t>
            </w:r>
          </w:p>
        </w:tc>
        <w:tc>
          <w:p>
            <w:r>
              <w:t xml:space="preserve">0.5% commission rate increase</w:t>
            </w:r>
          </w:p>
        </w:tc>
      </w:tr>
      <w:tr>
        <w:tc>
          <w:p>
            <w:r>
              <w:t xml:space="preserve">Tier 3 — Local + organic</w:t>
            </w:r>
          </w:p>
        </w:tc>
        <w:tc>
          <w:p>
            <w:r>
              <w:t xml:space="preserve">Local + organic SKU share</w:t>
            </w:r>
          </w:p>
        </w:tc>
        <w:tc>
          <w:p>
            <w:r>
              <w:t xml:space="preserve">≥ 25% (above the 15%/10% floor)</w:t>
            </w:r>
          </w:p>
        </w:tc>
        <w:tc>
          <w:p>
            <w:r>
              <w:t xml:space="preserve">0.5% commission rate increase</w:t>
            </w:r>
          </w:p>
        </w:tc>
      </w:tr>
      <w:tr>
        <w:tc>
          <w:p>
            <w:r>
              <w:t xml:space="preserve">Tier 4 — Fleet</w:t>
            </w:r>
          </w:p>
        </w:tc>
        <w:tc>
          <w:p>
            <w:r>
              <w:t xml:space="preserve">EV / hybrid % of restock route fleet</w:t>
            </w:r>
          </w:p>
        </w:tc>
        <w:tc>
          <w:p>
            <w:r>
              <w:t xml:space="preserve">≥ 50%</w:t>
            </w:r>
          </w:p>
        </w:tc>
        <w:tc>
          <w:p>
            <w:r>
              <w:t xml:space="preserve">Recognition + STARS narrative credit</w:t>
            </w:r>
          </w:p>
        </w:tc>
      </w:tr>
      <w:tr>
        <w:tc>
          <w:p>
            <w:r>
              <w:t xml:space="preserve">Tier 5 — Data sharing</w:t>
            </w:r>
          </w:p>
        </w:tc>
        <w:tc>
          <w:p>
            <w:r>
              <w:t xml:space="preserve">Sustainability dataset for student research</w:t>
            </w:r>
          </w:p>
        </w:tc>
        <w:tc>
          <w:p>
            <w:r>
              <w:t xml:space="preserve">Annual dataset + faculty engagement</w:t>
            </w:r>
          </w:p>
        </w:tc>
        <w:tc>
          <w:p>
            <w:r>
              <w:t xml:space="preserve">Recognition + AC-9 STARS credit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Reporting + verification</w:t>
      </w:r>
    </w:p>
    <w:p>
      <w:pPr>
        <w:spacing w:after="200"/>
      </w:pPr>
      <w:r>
        <w:t xml:space="preserve">Sustainability metrics need to be reported in a format the sustainability office can submit to AASHE STARS without manual reclassification. Operator commits to the reporting schedule at signing.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sustainability scorecard — energy, packaging, local/organic, fleet emissions, on-route diversion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STARS-aligned narrative — submitted by January 15 each year to support institution STARS reporting cycle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data export — daily or weekly CSV / API, including kWh per device where instrumented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Third-party verification on packaging share + local sourcing (independent random audit of SKU master)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Scope 3 emissions estimate — operator restocking + warehousing emissions allocated to the institution's account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sustainability report aligned to Second Nature Carbon Commitment where the institution is a signatory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Living-lab data sharing arrangement for student capstone, research, or sustainability office projects</w:t>
      </w:r>
    </w:p>
    <w:p>
      <w:pPr>
        <w:pStyle w:val="Heading1"/>
        <w:spacing w:after="150" w:before="300"/>
      </w:pPr>
      <w:r>
        <w:t xml:space="preserve">6. RFP response sections — what operators submit</w:t>
      </w:r>
    </w:p>
    <w:p>
      <w:pPr>
        <w:spacing w:after="60" w:before="120"/>
      </w:pPr>
      <w:r>
        <w:rPr>
          <w:b/>
          <w:bCs/>
        </w:rPr>
        <w:t xml:space="preserve">1. Section A — Bidder profile + sustainability credentials</w:t>
      </w:r>
    </w:p>
    <w:p>
      <w:pPr>
        <w:spacing w:after="120"/>
      </w:pPr>
      <w:r>
        <w:t xml:space="preserve">Legal entity, years in market, sustainability certifications (B Corp, ISO 14001, etc.), corporate sustainability report link.</w:t>
      </w:r>
    </w:p>
    <w:p>
      <w:pPr>
        <w:spacing w:after="60" w:before="120"/>
      </w:pPr>
      <w:r>
        <w:rPr>
          <w:b/>
          <w:bCs/>
        </w:rPr>
        <w:t xml:space="preserve">2. Section B — Equipment sustainability spec</w:t>
      </w:r>
    </w:p>
    <w:p>
      <w:pPr>
        <w:spacing w:after="120"/>
      </w:pPr>
      <w:r>
        <w:t xml:space="preserve">Per-device ENERGY STAR confirmation, refrigerant type, LED + low-power standby, telemetry vendor + heartbeat.</w:t>
      </w:r>
    </w:p>
    <w:p>
      <w:pPr>
        <w:spacing w:after="60" w:before="120"/>
      </w:pPr>
      <w:r>
        <w:rPr>
          <w:b/>
          <w:bCs/>
        </w:rPr>
        <w:t xml:space="preserve">3. Section C — Planogram sustainability spec</w:t>
      </w:r>
    </w:p>
    <w:p>
      <w:pPr>
        <w:spacing w:after="120"/>
      </w:pPr>
      <w:r>
        <w:t xml:space="preserve">Local + organic + fair-trade SKU share with supplier list; recyclable packaging share with packaging-vendor verification; allergen labeling sample.</w:t>
      </w:r>
    </w:p>
    <w:p>
      <w:pPr>
        <w:spacing w:after="60" w:before="120"/>
      </w:pPr>
      <w:r>
        <w:rPr>
          <w:b/>
          <w:bCs/>
        </w:rPr>
        <w:t xml:space="preserve">4. Section D — Operations sustainability</w:t>
      </w:r>
    </w:p>
    <w:p>
      <w:pPr>
        <w:spacing w:after="120"/>
      </w:pPr>
      <w:r>
        <w:t xml:space="preserve">Route optimization methodology, fleet composition + EV transition plan, warehouse renewable energy, Scope 1 + 2 + 3 emissions baseline.</w:t>
      </w:r>
    </w:p>
    <w:p>
      <w:pPr>
        <w:spacing w:after="60" w:before="120"/>
      </w:pPr>
      <w:r>
        <w:rPr>
          <w:b/>
          <w:bCs/>
        </w:rPr>
        <w:t xml:space="preserve">5. Section E — Reporting + verification commitment</w:t>
      </w:r>
    </w:p>
    <w:p>
      <w:pPr>
        <w:spacing w:after="120"/>
      </w:pPr>
      <w:r>
        <w:t xml:space="preserve">Sample quarterly scorecard, STARS-aligned narrative format, third-party verification arrangement, living-lab data-sharing terms.</w:t>
      </w:r>
    </w:p>
    <w:p>
      <w:pPr>
        <w:spacing w:after="60" w:before="120"/>
      </w:pPr>
      <w:r>
        <w:rPr>
          <w:b/>
          <w:bCs/>
        </w:rPr>
        <w:t xml:space="preserve">6. Section F — Bonus structure response</w:t>
      </w:r>
    </w:p>
    <w:p>
      <w:pPr>
        <w:spacing w:after="120"/>
      </w:pPr>
      <w:r>
        <w:t xml:space="preserve">Per-tier commitment with threshold + measurement method.</w:t>
      </w:r>
    </w:p>
    <w:p>
      <w:pPr>
        <w:spacing w:after="60" w:before="120"/>
      </w:pPr>
      <w:r>
        <w:rPr>
          <w:b/>
          <w:bCs/>
        </w:rPr>
        <w:t xml:space="preserve">7. Section G — References + capability</w:t>
      </w:r>
    </w:p>
    <w:p>
      <w:pPr>
        <w:spacing w:after="120"/>
      </w:pPr>
      <w:r>
        <w:t xml:space="preserve">Three university references with named sustainability office contact + procurement contact.</w:t>
      </w:r>
    </w:p>
    <w:p>
      <w:pPr>
        <w:pStyle w:val="Heading1"/>
        <w:spacing w:after="150" w:before="300"/>
      </w:pPr>
      <w:r>
        <w:t xml:space="preserve">7. Scoring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Scoring detail</w:t>
            </w:r>
          </w:p>
        </w:tc>
      </w:tr>
      <w:tr>
        <w:tc>
          <w:p>
            <w:r>
              <w:t xml:space="preserve">Equipment sustainability spec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ENERGY STAR % + refrigerant compliance + LED + standby</w:t>
            </w:r>
          </w:p>
        </w:tc>
      </w:tr>
      <w:tr>
        <w:tc>
          <w:p>
            <w:r>
              <w:t xml:space="preserve">Planogram sustainability</w:t>
            </w:r>
          </w:p>
        </w:tc>
        <w:tc>
          <w:p>
            <w:r>
              <w:t xml:space="preserve">20%</w:t>
            </w:r>
          </w:p>
        </w:tc>
        <w:tc>
          <w:p>
            <w:r>
              <w:t xml:space="preserve">Local + organic + fair-trade + packaging recyclability</w:t>
            </w:r>
          </w:p>
        </w:tc>
      </w:tr>
      <w:tr>
        <w:tc>
          <w:p>
            <w:r>
              <w:t xml:space="preserve">Operations + fleet sustainability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Route optimization + fleet emissions + warehouse renewables</w:t>
            </w:r>
          </w:p>
        </w:tc>
      </w:tr>
      <w:tr>
        <w:tc>
          <w:p>
            <w:r>
              <w:t xml:space="preserve">Reporting + verification</w:t>
            </w:r>
          </w:p>
        </w:tc>
        <w:tc>
          <w:p>
            <w:r>
              <w:t xml:space="preserve">15%</w:t>
            </w:r>
          </w:p>
        </w:tc>
        <w:tc>
          <w:p>
            <w:r>
              <w:t xml:space="preserve">STARS alignment + third-party verification + data sharing</w:t>
            </w:r>
          </w:p>
        </w:tc>
      </w:tr>
      <w:tr>
        <w:tc>
          <w:p>
            <w:r>
              <w:t xml:space="preserve">Bonus structure commitment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Number of tiers committed + threshold strength</w:t>
            </w:r>
          </w:p>
        </w:tc>
      </w:tr>
      <w:tr>
        <w:tc>
          <w:p>
            <w:r>
              <w:t xml:space="preserve">SLA + telemetry capability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Uptime + ticket SLA + telemetry export</w:t>
            </w:r>
          </w:p>
        </w:tc>
      </w:tr>
      <w:tr>
        <w:tc>
          <w:p>
            <w:r>
              <w:t xml:space="preserve">Pricing + commission economics</w:t>
            </w:r>
          </w:p>
        </w:tc>
        <w:tc>
          <w:p>
            <w:r>
              <w:t xml:space="preserve">10%</w:t>
            </w:r>
          </w:p>
        </w:tc>
        <w:tc>
          <w:p>
            <w:r>
              <w:t xml:space="preserve">Commission rate + investment + refresh schedule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iCs/>
          <w:color w:val="6B7280"/>
        </w:rPr>
        <w:t xml:space="preserve">This RFP template is a working procurement reference. Final RFP should be reviewed by university counsel, procurement, the sustainability office, and auxiliary services. AASHE STARS reporting alignment + Second Nature Carbon Commitment alignment + zero-waste goals should each be confirmed against the institution's current published commitments before issuance.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Green-Vending RFP Template</dc:title>
  <dc:creator>LetUsVending</dc:creator>
  <dc:description>Sustainability specification, AASHE STARS reporting alignment, and bonus structures for university procurement</dc:description>
  <cp:lastModifiedBy>Un-named</cp:lastModifiedBy>
  <cp:revision>1</cp:revision>
  <dcterms:created xsi:type="dcterms:W3CDTF">2026-05-17T13:18:03.523Z</dcterms:created>
  <dcterms:modified xsi:type="dcterms:W3CDTF">2026-05-17T13:18:03.524Z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