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K-12 Healthy Snack Policy Drafting Framework</w:t>
      </w:r>
    </w:p>
    <w:p>
      <w:pPr>
        <w:spacing w:after="200"/>
      </w:pPr>
      <w:r>
        <w:rPr>
          <w:i/>
          <w:iCs/>
          <w:color w:val="6B7280"/>
        </w:rPr>
        <w:t xml:space="preserve">Ten-element policy checklist + operator MSA capability matrix + SFA Administrative Review prep</w:t>
      </w:r>
    </w:p>
    <w:p>
      <w:pPr>
        <w:spacing w:after="300"/>
      </w:pPr>
      <w:r>
        <w:t xml:space="preserve">A district healthy-snack policy is required under 42 U.S.C. 1758b (Local School Wellness Policy) and reviewed during the triennial Administrative Review under 7 CFR 210.18. This framework gives the wellness committee a ten-element drafting checklist, an operator MSA (Master Services Agreement) capability matrix, and the documentation needed at the next Administrative Review. Use during policy adoption and at each triennial assessment.</w:t>
      </w:r>
    </w:p>
    <w:p>
      <w:pPr>
        <w:pStyle w:val="Heading1"/>
        <w:spacing w:after="150" w:before="300"/>
      </w:pPr>
      <w:r>
        <w:t xml:space="preserve">1. Ten-element healthy snack policy checklist</w:t>
      </w:r>
    </w:p>
    <w:p>
      <w:pPr>
        <w:spacing w:after="200"/>
      </w:pPr>
      <w:r>
        <w:t xml:space="preserve">Each element is referenced to USDA Local School Wellness Policy Final Rule (81 FR 50151, August 2016) implementing the Healthy, Hunger-Free Kids Act of 2010. Policy must be public, reviewed triennially, and tied to measurable goals.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1 — Nutrition guidelines for all foods sold during the school day match or exceed USDA Smart Snacks (7 CFR 210.11).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2 — Standards for foods provided but not sold (classroom celebrations, rewards) referenced and aligned where adopted.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3 — Nutrition promotion: marketing on school property limited to Smart-Snacks-compliant products (7 CFR 210.31).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4 — Nutrition education integrated into K-12 curriculum; goals measurable.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5 — Physical activity goals (referenced; not in scope of vending but required in same policy).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6 — Stakeholder participation: parents, students, SFA, school board, public, food service operators.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7 — Triennial assessment: extent of compliance + comparison to model + progress.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8 — Public notification: policy + assessment results posted on district website.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9 — Recordkeeping: most recent policy, documentation of public involvement, triennial assessment.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Element 10 — Designated official(s) responsible for implementation + compliance — named in policy.</w:t>
      </w:r>
    </w:p>
    <w:p>
      <w:pPr>
        <w:pStyle w:val="Heading1"/>
        <w:spacing w:after="150" w:before="300"/>
      </w:pPr>
      <w:r>
        <w:t xml:space="preserve">2. Smart Snacks nutrition thresholds (drafting reference)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Nutrient / 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Snack / side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Entrée</w:t>
            </w:r>
          </w:p>
        </w:tc>
      </w:tr>
      <w:tr>
        <w:tc>
          <w:p>
            <w:r>
              <w:t xml:space="preserve">Calories</w:t>
            </w:r>
          </w:p>
        </w:tc>
        <w:tc>
          <w:p>
            <w:r>
              <w:t xml:space="preserve">≤ 200 cal</w:t>
            </w:r>
          </w:p>
        </w:tc>
        <w:tc>
          <w:p>
            <w:r>
              <w:t xml:space="preserve">≤ 350 cal</w:t>
            </w:r>
          </w:p>
        </w:tc>
      </w:tr>
      <w:tr>
        <w:tc>
          <w:p>
            <w:r>
              <w:t xml:space="preserve">Sodium</w:t>
            </w:r>
          </w:p>
        </w:tc>
        <w:tc>
          <w:p>
            <w:r>
              <w:t xml:space="preserve">≤ 200 mg</w:t>
            </w:r>
          </w:p>
        </w:tc>
        <w:tc>
          <w:p>
            <w:r>
              <w:t xml:space="preserve">≤ 480 mg</w:t>
            </w:r>
          </w:p>
        </w:tc>
      </w:tr>
      <w:tr>
        <w:tc>
          <w:p>
            <w:r>
              <w:t xml:space="preserve">Total fat</w:t>
            </w:r>
          </w:p>
        </w:tc>
        <w:tc>
          <w:p>
            <w:r>
              <w:t xml:space="preserve">≤ 35% of calories</w:t>
            </w:r>
          </w:p>
        </w:tc>
        <w:tc>
          <w:p>
            <w:r>
              <w:t xml:space="preserve">≤ 35% of calories</w:t>
            </w:r>
          </w:p>
        </w:tc>
      </w:tr>
      <w:tr>
        <w:tc>
          <w:p>
            <w:r>
              <w:t xml:space="preserve">Saturated fat</w:t>
            </w:r>
          </w:p>
        </w:tc>
        <w:tc>
          <w:p>
            <w:r>
              <w:t xml:space="preserve">&lt; 10% of calories</w:t>
            </w:r>
          </w:p>
        </w:tc>
        <w:tc>
          <w:p>
            <w:r>
              <w:t xml:space="preserve">&lt; 10% of calories</w:t>
            </w:r>
          </w:p>
        </w:tc>
      </w:tr>
      <w:tr>
        <w:tc>
          <w:p>
            <w:r>
              <w:t xml:space="preserve">Trans fat</w:t>
            </w:r>
          </w:p>
        </w:tc>
        <w:tc>
          <w:p>
            <w:r>
              <w:t xml:space="preserve">0 g</w:t>
            </w:r>
          </w:p>
        </w:tc>
        <w:tc>
          <w:p>
            <w:r>
              <w:t xml:space="preserve">0 g</w:t>
            </w:r>
          </w:p>
        </w:tc>
      </w:tr>
      <w:tr>
        <w:tc>
          <w:p>
            <w:r>
              <w:t xml:space="preserve">Total sugar</w:t>
            </w:r>
          </w:p>
        </w:tc>
        <w:tc>
          <w:p>
            <w:r>
              <w:t xml:space="preserve">≤ 35% by weight</w:t>
            </w:r>
          </w:p>
        </w:tc>
        <w:tc>
          <w:p>
            <w:r>
              <w:t xml:space="preserve">≤ 35% by weight</w:t>
            </w:r>
          </w:p>
        </w:tc>
      </w:tr>
      <w:tr>
        <w:tc>
          <w:p>
            <w:r>
              <w:t xml:space="preserve">First ingredient</w:t>
            </w:r>
          </w:p>
        </w:tc>
        <w:tc>
          <w:p>
            <w:r>
              <w:t xml:space="preserve">Fruit, veg, dairy, protein, whole grain</w:t>
            </w:r>
          </w:p>
        </w:tc>
        <w:tc>
          <w:p>
            <w:r>
              <w:t xml:space="preserve">Same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Operator MSA capability matrix — what to require in writing</w:t>
      </w:r>
    </w:p>
    <w:p>
      <w:pPr>
        <w:spacing w:after="120"/>
      </w:pPr>
      <w:r>
        <w:rPr>
          <w:b/>
          <w:bCs/>
          <w:color w:val="111827"/>
        </w:rPr>
        <w:t xml:space="preserve">Smart Snacks attestation: </w:t>
      </w:r>
      <w:r>
        <w:t xml:space="preserve">Operator signed attestation that 100% of SKUs sold during the school day pass Smart Snacks Product Calculator; SKU list refreshed each semester.</w:t>
      </w:r>
    </w:p>
    <w:p>
      <w:pPr>
        <w:spacing w:after="120"/>
      </w:pPr>
      <w:r>
        <w:rPr>
          <w:b/>
          <w:bCs/>
          <w:color w:val="111827"/>
        </w:rPr>
        <w:t xml:space="preserve">Substitution policy: </w:t>
      </w:r>
      <w:r>
        <w:t xml:space="preserve">Operator commits to 5-business-day substitution when an SKU is delisted by manufacturer or fails reformulation review.</w:t>
      </w:r>
    </w:p>
    <w:p>
      <w:pPr>
        <w:spacing w:after="120"/>
      </w:pPr>
      <w:r>
        <w:rPr>
          <w:b/>
          <w:bCs/>
          <w:color w:val="111827"/>
        </w:rPr>
        <w:t xml:space="preserve">Marketing compliance — 7 CFR 210.31: </w:t>
      </w:r>
      <w:r>
        <w:t xml:space="preserve">All in-school signage, machine wraps, cup branding limited to Smart-Snacks-compliant SKUs; operator removes non-compliant marketing at own cost.</w:t>
      </w:r>
    </w:p>
    <w:p>
      <w:pPr>
        <w:spacing w:after="120"/>
      </w:pPr>
      <w:r>
        <w:rPr>
          <w:b/>
          <w:bCs/>
          <w:color w:val="111827"/>
        </w:rPr>
        <w:t xml:space="preserve">Labeling: </w:t>
      </w:r>
      <w:r>
        <w:t xml:space="preserve">Allergen labeling per FALCPA on every facing; calorie disclosure per FDA 21 CFR 101.8 for chains with 20+ machines.</w:t>
      </w:r>
    </w:p>
    <w:p>
      <w:pPr>
        <w:spacing w:after="120"/>
      </w:pPr>
      <w:r>
        <w:rPr>
          <w:b/>
          <w:bCs/>
          <w:color w:val="111827"/>
        </w:rPr>
        <w:t xml:space="preserve">Telemetry: </w:t>
      </w:r>
      <w:r>
        <w:t xml:space="preserve">Read-access dashboard for SFA director showing per-SKU velocity + planogram + price changes (Cantaloupe Seed, Nayax MoMa, 365 ADM, AWM, or comparable).</w:t>
      </w:r>
    </w:p>
    <w:p>
      <w:pPr>
        <w:spacing w:after="120"/>
      </w:pPr>
      <w:r>
        <w:rPr>
          <w:b/>
          <w:bCs/>
          <w:color w:val="111827"/>
        </w:rPr>
        <w:t xml:space="preserve">Administrative Review support: </w:t>
      </w:r>
      <w:r>
        <w:t xml:space="preserve">Operator provides documentation packet (Smart Snacks SKU list, attestation, calorie labeling, marketing inventory) to SFA within 5 business days of SA notification.</w:t>
      </w:r>
    </w:p>
    <w:p>
      <w:pPr>
        <w:spacing w:after="120"/>
      </w:pPr>
      <w:r>
        <w:rPr>
          <w:b/>
          <w:bCs/>
          <w:color w:val="111827"/>
        </w:rPr>
        <w:t xml:space="preserve">Refund + recall procedure: </w:t>
      </w:r>
      <w:r>
        <w:t xml:space="preserve">Refund within 5 business days; manufacturer recall pulled from machines within 24 hours of FDA / USDA notice.</w:t>
      </w:r>
    </w:p>
    <w:p>
      <w:pPr>
        <w:pStyle w:val="Heading1"/>
        <w:spacing w:after="150" w:before="300"/>
      </w:pPr>
      <w:r>
        <w:t xml:space="preserve">4. Triennial Administrative Review preparation</w:t>
      </w:r>
    </w:p>
    <w:p>
      <w:pPr>
        <w:spacing w:after="200"/>
      </w:pPr>
      <w:r>
        <w:t xml:space="preserve">Under 7 CFR 210.18 the State Agency (SA) reviews each SFA on a 3-year cycle. Vending compliance is a documented review element. Required documentation listed below.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Current wellness policy (signed, dated, posted to district website).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Most recent triennial assessment with progress notes and stakeholder participation log.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Smart Snacks attestation + current SKU list with Smart Snacks Calculator output.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planogram with photographs from past 30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Marketing inventory: machine wraps, scoreboards, cups, posters — each verified Smart Snacks compliant.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Designated wellness official named in policy is reachable + briefed for SA interview.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Public notification: policy + assessment URL + last-updated date on district homepage.</w:t>
      </w:r>
    </w:p>
    <w:p>
      <w:pPr>
        <w:pStyle w:val="Heading1"/>
        <w:spacing w:after="150" w:before="300"/>
      </w:pPr>
      <w:r>
        <w:t xml:space="preserve">5. Wellness committee meeting cadence</w:t>
      </w:r>
    </w:p>
    <w:p>
      <w:pPr>
        <w:spacing w:after="60" w:before="120"/>
      </w:pPr>
      <w:r>
        <w:rPr>
          <w:b/>
          <w:bCs/>
        </w:rPr>
        <w:t xml:space="preserve">1. Annual policy review (August)</w:t>
      </w:r>
    </w:p>
    <w:p>
      <w:pPr>
        <w:spacing w:after="120"/>
      </w:pPr>
      <w:r>
        <w:t xml:space="preserve">Committee reviews policy, operator SKU list, planogram, prior-year compliance, sets current-year measurable goals.</w:t>
      </w:r>
    </w:p>
    <w:p>
      <w:pPr>
        <w:spacing w:after="60" w:before="120"/>
      </w:pPr>
      <w:r>
        <w:rPr>
          <w:b/>
          <w:bCs/>
        </w:rPr>
        <w:t xml:space="preserve">2. Mid-year check (January)</w:t>
      </w:r>
    </w:p>
    <w:p>
      <w:pPr>
        <w:spacing w:after="120"/>
      </w:pPr>
      <w:r>
        <w:t xml:space="preserve">Telemetry review, marketing audit, student/parent feedback survey, planogram refresh for spring.</w:t>
      </w:r>
    </w:p>
    <w:p>
      <w:pPr>
        <w:spacing w:after="60" w:before="120"/>
      </w:pPr>
      <w:r>
        <w:rPr>
          <w:b/>
          <w:bCs/>
        </w:rPr>
        <w:t xml:space="preserve">3. End-of-year assessment (May-June)</w:t>
      </w:r>
    </w:p>
    <w:p>
      <w:pPr>
        <w:spacing w:after="120"/>
      </w:pPr>
      <w:r>
        <w:t xml:space="preserve">Compile annual report; every third year compile full triennial assessment per 7 CFR 210.30(d).</w:t>
      </w:r>
    </w:p>
    <w:p>
      <w:pPr>
        <w:pStyle w:val="Heading1"/>
        <w:spacing w:after="150" w:before="300"/>
      </w:pPr>
      <w:r>
        <w:t xml:space="preserve">6. Common Administrative Review findings to pre-empt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Non-compliant SKU in machine — refresh planogram + SKU list one week before SA visit.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Stale marketing — audit cups, scoreboards, posters quarterly; document removal.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Missing public notification — confirm policy URL + assessment URL live and current.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Stakeholder participation undocumented — keep sign-in sheets + meeting minutes for 3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Triennial assessment not completed — calendar reminder set 9 months before due date.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advice. Verify Smart Snacks SKU status with the SFA director using the Alliance for a Healthier Generation Smart Snacks Product Calculator; consult the State Agency for state-specific overlays. LetUsVending is equipped to coordinate Smart-Snacks-aligned operators and Administrative-Review-ready documentation.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K-12 Healthy Snack Policy Drafting Framework</dc:title>
  <dc:creator>LetUsVending</dc:creator>
  <dc:description>Ten-element policy checklist + operator MSA capability matrix + SFA Administrative Review prep</dc:description>
  <cp:lastModifiedBy>Un-named</cp:lastModifiedBy>
  <cp:revision>1</cp:revision>
  <dcterms:created xsi:type="dcterms:W3CDTF">2026-05-17T13:18:03.948Z</dcterms:created>
  <dcterms:modified xsi:type="dcterms:W3CDTF">2026-05-17T13:18:03.949Z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