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Hotel Vending ADA Placement Checklist</w:t>
      </w:r>
    </w:p>
    <w:p>
      <w:pPr>
        <w:spacing w:after="200"/>
      </w:pPr>
      <w:r>
        <w:rPr>
          <w:i/>
          <w:iCs/>
          <w:color w:val="6B7280"/>
        </w:rPr>
        <w:t xml:space="preserve">Reach range, clear floor space, signage, and audible / visual feedback verification</w:t>
      </w:r>
    </w:p>
    <w:p>
      <w:pPr>
        <w:spacing w:after="300"/>
      </w:pPr>
      <w:r>
        <w:t xml:space="preserve">Use this checklist before signing a hotel vending contract and at annual recertification. Each item maps to a specific ADA Title III or Section 308 / 305 / 309.4 / 703 requirement. Operator should be able to attest in writing and provide documentation on request.</w:t>
      </w:r>
    </w:p>
    <w:p>
      <w:pPr>
        <w:pStyle w:val="Heading1"/>
        <w:spacing w:after="150" w:before="300"/>
      </w:pPr>
      <w:r>
        <w:t xml:space="preserve">1. Reach range — ADA Section 308</w:t>
      </w:r>
    </w:p>
    <w:p>
      <w:pPr>
        <w:spacing w:after="200"/>
      </w:pPr>
      <w:r>
        <w:t xml:space="preserve">Reach range applies to operable parts (selection buttons, payment readers, dispense doors, refund release). Verify both forward and side reach where the device permits parallel approach.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Highest operable part ≤ 48 in AFF for unobstructed forward reach (Section 308.2.1).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Lowest operable part ≥ 15 in AFF (Section 308.2.1).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Obstructed forward reach: depth of obstruction ≤ 20 in and highest operable part ≤ 48 in (Section 308.2.2); if depth 20-25 in, highest operable part ≤ 44 in.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Side reach: highest operable part ≤ 48 in unobstructed (Section 308.3.1); over obstruction up to 10 in deep, ≤ 48 in; 10-24 in obstruction, ≤ 46 in (Section 308.3.2).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Card reader, contactless reader, PIN pad, and dispense flap each meet reach range and operate with one hand without tight grasping, pinching, or twisting (Section 309.4).</w:t>
      </w:r>
    </w:p>
    <w:p>
      <w:pPr>
        <w:pStyle w:val="Heading1"/>
        <w:spacing w:after="150" w:before="300"/>
      </w:pPr>
      <w:r>
        <w:t xml:space="preserve">2. Clear floor space — ADA Section 305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30 × 48 in clear floor space provided for parallel or forward approach to operable parts.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Clear floor space free of permanent obstructions and not within a major circulation path that creates traffic conflict.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Carpet pile ≤ ½ in with secured edges per Section 302.2.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Vending alcove door clear width ≥ 32 in per Section 404.2.3; door operating force ≤ 5 lbf per Section 404.2.9.</w:t>
      </w:r>
    </w:p>
    <w:p>
      <w:pPr>
        <w:pStyle w:val="Heading1"/>
        <w:spacing w:after="150" w:before="300"/>
      </w:pPr>
      <w:r>
        <w:t xml:space="preserve">3. Signage and high-contrast pricing — ADA Section 703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Pricing display character height ≥ 5/8 in per Section 703.5.5 where pricing serves as building signage.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Contrast ratio ≥ 70% between characters and background per Section 703.5.1.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Tactile braille pricing labels at federal placements or where state code requires (Section 703.3 + 703.4).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icons supplement text-only allergen lists; FALCPA disclosure on every SKU.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Pricing visible from the 30 × 48 in clear floor space; no glare-inducing fluorescent reflection on the display.</w:t>
      </w:r>
    </w:p>
    <w:p>
      <w:pPr>
        <w:pStyle w:val="Heading1"/>
        <w:spacing w:after="150" w:before="300"/>
      </w:pPr>
      <w:r>
        <w:t xml:space="preserve">4. Audible and visual feedback — ADA Section 309 / 707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Selection feedback: audible tone or click confirms selection.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Visual feedback: display confirms selection text large enough to read from the clear floor space (typical character ≥ ½ in).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Error states (out of stock, payment declined, refund pending) clearly indicated by both audible and visual cues — not visual-only.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Dispense complete confirmation by both audible and visual cue.</w:t>
      </w:r>
    </w:p>
    <w:p>
      <w:pPr>
        <w:pStyle w:val="Heading1"/>
        <w:spacing w:after="150" w:before="300"/>
      </w:pPr>
      <w:r>
        <w:t xml:space="preserve">5. Verification and documentation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provides written ADA attestation at install and annually thereafter.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provides VPAT (Voluntary Product Accessibility Template) for digital interfaces — card reader, kiosk, app.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Site-visit verification scheduled at install and annually; photos and measurements documented.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Hotel accessibility coordinator copied on all attestation documents and retains records for contract term + 5 years.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Complaint log: guest accessibility concerns recorded, root-cause analyzed, remediation owner and due date assigned.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legal advice. ADA Title III applies to hotels as places of public accommodation; state and local jurisdictions may add requirements above the federal floor. Coordinate the final review with counsel. LetUsVending can connect you with operators equipped to attest to each item — request the hotel capability matrix to compare candidates.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Vending ADA Placement Checklist</dc:title>
  <dc:creator>LetUsVending</dc:creator>
  <dc:description>Reach range, clear floor space, signage, and audible / visual feedback verification</dc:description>
  <cp:lastModifiedBy>Un-named</cp:lastModifiedBy>
  <cp:revision>1</cp:revision>
  <dcterms:created xsi:type="dcterms:W3CDTF">2026-05-17T13:18:04.568Z</dcterms:created>
  <dcterms:modified xsi:type="dcterms:W3CDTF">2026-05-17T13:18:04.569Z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