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Hotel Vending Contract Template</w:t>
      </w:r>
    </w:p>
    <w:p>
      <w:pPr>
        <w:spacing w:after="200"/>
      </w:pPr>
      <w:r>
        <w:rPr>
          <w:i/>
          <w:iCs/>
          <w:color w:val="6B7280"/>
        </w:rPr>
        <w:t xml:space="preserve">Eight contract dimensions, SLA clauses, and equipment-ownership comparison for full-service, select-service, and limited-service hotels</w:t>
      </w:r>
    </w:p>
    <w:p>
      <w:pPr>
        <w:spacing w:after="300"/>
      </w:pPr>
      <w:r>
        <w:t xml:space="preserve">Hotel vending sits at the intersection of guest-experience scoring (J.D. Power, Forbes Travel Guide, AAA Diamond inspection), brand-standard compliance (Marriott BSA, Hilton OS&amp;E, IHG Brand Standards), and limited operational bandwidth in select-service and limited-service properties. This template gives the GM, the F&amp;B director, and the brand procurement office a defensible eight-dimension contract that maps to brand-standard inspection items and protects the operating reserve.</w:t>
      </w:r>
    </w:p>
    <w:p>
      <w:pPr>
        <w:pStyle w:val="Heading1"/>
        <w:spacing w:after="150" w:before="300"/>
      </w:pPr>
      <w:r>
        <w:t xml:space="preserve">1. Equipment ownership — three models compared</w:t>
      </w:r>
    </w:p>
    <w:p>
      <w:pPr>
        <w:spacing w:after="200"/>
      </w:pPr>
      <w:r>
        <w:t xml:space="preserve">Most hotel operators choose between operator-owned, hotel-owned, and lease-to-own. Each has implications for capex, commission rate, refresh cycle, and brand-standard refresh compliance.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Capex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Commission rate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Refresh responsibility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 fit</w:t>
            </w:r>
          </w:p>
        </w:tc>
      </w:tr>
      <w:tr>
        <w:tc>
          <w:p>
            <w:r>
              <w:t xml:space="preserve">Operator-owned (full-service operator)</w:t>
            </w:r>
          </w:p>
        </w:tc>
        <w:tc>
          <w:p>
            <w:r>
              <w:t xml:space="preserve">$0 hotel capex</w:t>
            </w:r>
          </w:p>
        </w:tc>
        <w:tc>
          <w:p>
            <w:r>
              <w:t xml:space="preserve">10-25% commission to hotel</w:t>
            </w:r>
          </w:p>
        </w:tc>
        <w:tc>
          <w:p>
            <w:r>
              <w:t xml:space="preserve">Operator (typically every 5-7 years)</w:t>
            </w:r>
          </w:p>
        </w:tc>
        <w:tc>
          <w:p>
            <w:r>
              <w:t xml:space="preserve">Select-service + extended-stay; properties under 200 keys</w:t>
            </w:r>
          </w:p>
        </w:tc>
      </w:tr>
      <w:tr>
        <w:tc>
          <w:p>
            <w:r>
              <w:t xml:space="preserve">Hotel-owned (operator services only)</w:t>
            </w:r>
          </w:p>
        </w:tc>
        <w:tc>
          <w:p>
            <w:r>
              <w:t xml:space="preserve">Full capex on hotel ($8K-$25K per machine)</w:t>
            </w:r>
          </w:p>
        </w:tc>
        <w:tc>
          <w:p>
            <w:r>
              <w:t xml:space="preserve">60-85% net retained by hotel</w:t>
            </w:r>
          </w:p>
        </w:tc>
        <w:tc>
          <w:p>
            <w:r>
              <w:t xml:space="preserve">Hotel (capex cycle on the hotel)</w:t>
            </w:r>
          </w:p>
        </w:tc>
        <w:tc>
          <w:p>
            <w:r>
              <w:t xml:space="preserve">Full-service + resort properties with brand-mandated equipment spec</w:t>
            </w:r>
          </w:p>
        </w:tc>
      </w:tr>
      <w:tr>
        <w:tc>
          <w:p>
            <w:r>
              <w:t xml:space="preserve">Lease-to-own</w:t>
            </w:r>
          </w:p>
        </w:tc>
        <w:tc>
          <w:p>
            <w:r>
              <w:t xml:space="preserve">Monthly lease payment ($150-$350/mo)</w:t>
            </w:r>
          </w:p>
        </w:tc>
        <w:tc>
          <w:p>
            <w:r>
              <w:t xml:space="preserve">40-60% retained by hotel after lease</w:t>
            </w:r>
          </w:p>
        </w:tc>
        <w:tc>
          <w:p>
            <w:r>
              <w:t xml:space="preserve">Operator during lease; hotel after buyout</w:t>
            </w:r>
          </w:p>
        </w:tc>
        <w:tc>
          <w:p>
            <w:r>
              <w:t xml:space="preserve">Properties planning brand-conversion or major renovation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The eight contract dimensions — required clauses</w:t>
      </w:r>
    </w:p>
    <w:p>
      <w:pPr>
        <w:spacing w:after="200"/>
      </w:pPr>
      <w:r>
        <w:t xml:space="preserve">Every hotel vending contract should address these eight dimensions explicitly. Missing dimensions are the most common source of dispute in the first 24 months of an operator relationship.</w:t>
      </w:r>
    </w:p>
    <w:p>
      <w:pPr>
        <w:spacing w:after="60" w:before="120"/>
      </w:pPr>
      <w:r>
        <w:rPr>
          <w:b/>
          <w:bCs/>
        </w:rPr>
        <w:t xml:space="preserve">1. Equipment specification + brand-standard compliance</w:t>
      </w:r>
    </w:p>
    <w:p>
      <w:pPr>
        <w:spacing w:after="120"/>
      </w:pPr>
      <w:r>
        <w:t xml:space="preserve">Specify make/model, telemetry vendor, cashless reader (Apple Pay + Google Pay + tap), ADA Section 308 reach-range compliance, and brand-standard appearance package (cabinet color, signage, brand-approved façade where applicable).</w:t>
      </w:r>
    </w:p>
    <w:p>
      <w:pPr>
        <w:spacing w:after="60" w:before="120"/>
      </w:pPr>
      <w:r>
        <w:rPr>
          <w:b/>
          <w:bCs/>
        </w:rPr>
        <w:t xml:space="preserve">2. Service-level agreement (SLA)</w:t>
      </w:r>
    </w:p>
    <w:p>
      <w:pPr>
        <w:spacing w:after="120"/>
      </w:pPr>
      <w:r>
        <w:t xml:space="preserve">Restock cadence (weekly minimum; twice-weekly for high-occupancy resorts), service-ticket SLA (Tier 1 &lt; 24 hours, Tier 2 &lt; 5 days), refund response (&lt; 24 hours via app/SMS), uptime target (typically 97-98%).</w:t>
      </w:r>
    </w:p>
    <w:p>
      <w:pPr>
        <w:spacing w:after="60" w:before="120"/>
      </w:pPr>
      <w:r>
        <w:rPr>
          <w:b/>
          <w:bCs/>
        </w:rPr>
        <w:t xml:space="preserve">3. Commission + payment terms</w:t>
      </w:r>
    </w:p>
    <w:p>
      <w:pPr>
        <w:spacing w:after="120"/>
      </w:pPr>
      <w:r>
        <w:t xml:space="preserve">Commission rate, calculation method (gross or net of sales tax and refund), payment frequency (typically monthly), settlement date (commonly by 15th of following month), commission floor where negotiated.</w:t>
      </w:r>
    </w:p>
    <w:p>
      <w:pPr>
        <w:spacing w:after="60" w:before="120"/>
      </w:pPr>
      <w:r>
        <w:rPr>
          <w:b/>
          <w:bCs/>
        </w:rPr>
        <w:t xml:space="preserve">4. Planogram + product mix</w:t>
      </w:r>
    </w:p>
    <w:p>
      <w:pPr>
        <w:spacing w:after="120"/>
      </w:pPr>
      <w:r>
        <w:t xml:space="preserve">Brand-standard healthy-options percentage (commonly 35-50%), allergen labeling per FALCPA, beverage-pouring-rights coordination with hotel beverage contract, seasonal refresh cadence.</w:t>
      </w:r>
    </w:p>
    <w:p>
      <w:pPr>
        <w:spacing w:after="60" w:before="120"/>
      </w:pPr>
      <w:r>
        <w:rPr>
          <w:b/>
          <w:bCs/>
        </w:rPr>
        <w:t xml:space="preserve">5. Telemetry + reporting</w:t>
      </w:r>
    </w:p>
    <w:p>
      <w:pPr>
        <w:spacing w:after="120"/>
      </w:pPr>
      <w:r>
        <w:t xml:space="preserve">Cellular-modem telemetry on every machine, monthly per-machine + per-SKU report, uptime + stockout + refund metrics, audit-right clause for hotel to verify commission against telemetry.</w:t>
      </w:r>
    </w:p>
    <w:p>
      <w:pPr>
        <w:spacing w:after="60" w:before="120"/>
      </w:pPr>
      <w:r>
        <w:rPr>
          <w:b/>
          <w:bCs/>
        </w:rPr>
        <w:t xml:space="preserve">6. Term + termination</w:t>
      </w:r>
    </w:p>
    <w:p>
      <w:pPr>
        <w:spacing w:after="120"/>
      </w:pPr>
      <w:r>
        <w:t xml:space="preserve">Initial term (commonly 36-60 months), renewal mechanism (auto-renew vs. mutual extension), termination-for-cause notice (typically 30 days), termination-for-convenience option, equipment removal terms at termination.</w:t>
      </w:r>
    </w:p>
    <w:p>
      <w:pPr>
        <w:spacing w:after="60" w:before="120"/>
      </w:pPr>
      <w:r>
        <w:rPr>
          <w:b/>
          <w:bCs/>
        </w:rPr>
        <w:t xml:space="preserve">7. Insurance + indemnification</w:t>
      </w:r>
    </w:p>
    <w:p>
      <w:pPr>
        <w:spacing w:after="120"/>
      </w:pPr>
      <w:r>
        <w:t xml:space="preserve">Operator-side commercial general liability (typically $2M aggregate), workers' comp on operator personnel, hold-harmless for slip/trip on machine area, additional-insured endorsement naming hotel + brand.</w:t>
      </w:r>
    </w:p>
    <w:p>
      <w:pPr>
        <w:spacing w:after="60" w:before="120"/>
      </w:pPr>
      <w:r>
        <w:rPr>
          <w:b/>
          <w:bCs/>
        </w:rPr>
        <w:t xml:space="preserve">8. Guest-experience + escalation</w:t>
      </w:r>
    </w:p>
    <w:p>
      <w:pPr>
        <w:spacing w:after="120"/>
      </w:pPr>
      <w:r>
        <w:t xml:space="preserve">Front-desk + guest-services escalation contact, response time during guest complaint, alignment with Marriott BSA / Hilton OS&amp;E / IHG Brand Standards equivalents, refund flow accessible without front-desk involvement.</w:t>
      </w:r>
    </w:p>
    <w:p>
      <w:pPr>
        <w:pStyle w:val="Heading1"/>
        <w:spacing w:after="150" w:before="300"/>
      </w:pPr>
      <w:r>
        <w:t xml:space="preserve">3. SLA clause language — drop-in</w:t>
      </w:r>
    </w:p>
    <w:p>
      <w:pPr>
        <w:spacing w:after="200"/>
      </w:pPr>
      <w:r>
        <w:t xml:space="preserve">Reference language for the SLA section. Adjust uptime + cadence numbers to match your operator capability and property occupancy profile.</w:t>
      </w:r>
    </w:p>
    <w:p>
      <w:pPr>
        <w:spacing w:after="120"/>
      </w:pPr>
      <w:r>
        <w:rPr>
          <w:b/>
          <w:bCs/>
          <w:color w:val="111827"/>
        </w:rPr>
        <w:t xml:space="preserve">Uptime: </w:t>
      </w:r>
      <w:r>
        <w:t xml:space="preserve">Operator shall maintain a 97% per-machine monthly uptime measured by telemetry. Uptime below 95% for two consecutive months triggers a service-improvement plan; below 90% for two consecutive months triggers termination-for-cause rights.</w:t>
      </w:r>
    </w:p>
    <w:p>
      <w:pPr>
        <w:spacing w:after="120"/>
      </w:pPr>
      <w:r>
        <w:rPr>
          <w:b/>
          <w:bCs/>
          <w:color w:val="111827"/>
        </w:rPr>
        <w:t xml:space="preserve">Restock cadence: </w:t>
      </w:r>
      <w:r>
        <w:t xml:space="preserve">Minimum weekly restock; high-occupancy seasons (defined as STR occupancy &gt; 80%) require twice-weekly restock. Operator restock log delivered monthly with the commission statement.</w:t>
      </w:r>
    </w:p>
    <w:p>
      <w:pPr>
        <w:spacing w:after="120"/>
      </w:pPr>
      <w:r>
        <w:rPr>
          <w:b/>
          <w:bCs/>
          <w:color w:val="111827"/>
        </w:rPr>
        <w:t xml:space="preserve">Service tickets: </w:t>
      </w:r>
      <w:r>
        <w:t xml:space="preserve">Tier 1 (machine offline, payment failure, cold-chain excursion) — acknowledgement within 4 hours, resolution within 24 hours. Tier 2 (single SKU stockout, planogram refresh) — acknowledgement within 24 hours, resolution within 5 business days.</w:t>
      </w:r>
    </w:p>
    <w:p>
      <w:pPr>
        <w:spacing w:after="120"/>
      </w:pPr>
      <w:r>
        <w:rPr>
          <w:b/>
          <w:bCs/>
          <w:color w:val="111827"/>
        </w:rPr>
        <w:t xml:space="preserve">Guest refunds: </w:t>
      </w:r>
      <w:r>
        <w:t xml:space="preserve">Refund flow accessible via mobile app, SMS-to-refund number, or front-desk-issued credit. Refund credited to original payment method within 24 hours for cashless transactions; cash refunds within 7 days.</w:t>
      </w:r>
    </w:p>
    <w:p>
      <w:pPr>
        <w:spacing w:after="120"/>
      </w:pPr>
      <w:r>
        <w:rPr>
          <w:b/>
          <w:bCs/>
          <w:color w:val="111827"/>
        </w:rPr>
        <w:t xml:space="preserve">Cold-chain: </w:t>
      </w:r>
      <w:r>
        <w:t xml:space="preserve">Refrigerated devices monitored continuously; temperature excursion outside 35-40°F triggers alert with 4-hour SLA response. Spoilage events documented in monthly statement.</w:t>
      </w:r>
    </w:p>
    <w:p>
      <w:pPr>
        <w:pStyle w:val="Heading1"/>
        <w:spacing w:after="150" w:before="300"/>
      </w:pPr>
      <w:r>
        <w:t xml:space="preserve">4. Commission calculation — worked example</w:t>
      </w:r>
    </w:p>
    <w:p>
      <w:pPr>
        <w:spacing w:after="200"/>
      </w:pPr>
      <w:r>
        <w:t xml:space="preserve">Use this worked example to align operator + hotel finance on the commission methodology before contract signing. Avoids the most common reconciliation dispute.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Method A — gross of refund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Method B — net of refund + tax</w:t>
            </w:r>
          </w:p>
        </w:tc>
      </w:tr>
      <w:tr>
        <w:tc>
          <w:p>
            <w:r>
              <w:t xml:space="preserve">Gross vending sales (telemetry)</w:t>
            </w:r>
          </w:p>
        </w:tc>
        <w:tc>
          <w:p>
            <w:r>
              <w:t xml:space="preserve">$5,200</w:t>
            </w:r>
          </w:p>
        </w:tc>
        <w:tc>
          <w:p>
            <w:r>
              <w:t xml:space="preserve">$5,200</w:t>
            </w:r>
          </w:p>
        </w:tc>
      </w:tr>
      <w:tr>
        <w:tc>
          <w:p>
            <w:r>
              <w:t xml:space="preserve">Sales tax collected</w:t>
            </w:r>
          </w:p>
        </w:tc>
        <w:tc>
          <w:p>
            <w:r>
              <w:t xml:space="preserve">Excluded</w:t>
            </w:r>
          </w:p>
        </w:tc>
        <w:tc>
          <w:p>
            <w:r>
              <w:t xml:space="preserve">$390 (7.5%)</w:t>
            </w:r>
          </w:p>
        </w:tc>
      </w:tr>
      <w:tr>
        <w:tc>
          <w:p>
            <w:r>
              <w:t xml:space="preserve">Refund volume</w:t>
            </w:r>
          </w:p>
        </w:tc>
        <w:tc>
          <w:p>
            <w:r>
              <w:t xml:space="preserve">$104 (2%)</w:t>
            </w:r>
          </w:p>
        </w:tc>
        <w:tc>
          <w:p>
            <w:r>
              <w:t xml:space="preserve">$104</w:t>
            </w:r>
          </w:p>
        </w:tc>
      </w:tr>
      <w:tr>
        <w:tc>
          <w:p>
            <w:r>
              <w:t xml:space="preserve">Commissionable base</w:t>
            </w:r>
          </w:p>
        </w:tc>
        <w:tc>
          <w:p>
            <w:r>
              <w:t xml:space="preserve">$5,200</w:t>
            </w:r>
          </w:p>
        </w:tc>
        <w:tc>
          <w:p>
            <w:r>
              <w:t xml:space="preserve">$4,706</w:t>
            </w:r>
          </w:p>
        </w:tc>
      </w:tr>
      <w:tr>
        <w:tc>
          <w:p>
            <w:r>
              <w:t xml:space="preserve">Commission rate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Hotel commission</w:t>
            </w:r>
          </w:p>
        </w:tc>
        <w:tc>
          <w:p>
            <w:r>
              <w:t xml:space="preserve">$1,040</w:t>
            </w:r>
          </w:p>
        </w:tc>
        <w:tc>
          <w:p>
            <w:r>
              <w:t xml:space="preserve">$941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Brand-standard alignment</w:t>
      </w:r>
    </w:p>
    <w:p>
      <w:pPr>
        <w:spacing w:after="200"/>
      </w:pPr>
      <w:r>
        <w:t xml:space="preserve">Major hotel brands publish brand-standard inspection items that touch vending. Operator capability should be verifiable against each.</w:t>
      </w:r>
    </w:p>
    <w:p>
      <w:pPr>
        <w:spacing w:after="120"/>
      </w:pPr>
      <w:r>
        <w:rPr>
          <w:b/>
          <w:bCs/>
          <w:color w:val="111827"/>
        </w:rPr>
        <w:t xml:space="preserve">Marriott BSA + GuestVoice: </w:t>
      </w:r>
      <w:r>
        <w:t xml:space="preserve">Marriott Brand Standards Audit (BSA) inspects vending area cleanliness, signage, ADA reach range, and healthy-options availability. GuestVoice guest survey includes 'snacks and beverages' attribute. Operator should attest to BSA-ready presentation.</w:t>
      </w:r>
    </w:p>
    <w:p>
      <w:pPr>
        <w:spacing w:after="120"/>
      </w:pPr>
      <w:r>
        <w:rPr>
          <w:b/>
          <w:bCs/>
          <w:color w:val="111827"/>
        </w:rPr>
        <w:t xml:space="preserve">Hilton OS&amp;E + SALT: </w:t>
      </w:r>
      <w:r>
        <w:t xml:space="preserve">Hilton Operating Supplies &amp; Equipment list defines approved equipment finishes for branded properties; SALT guest survey scores snack-and-beverage availability. Operator confirms OS&amp;E-compliant cabinet finishes where applicable.</w:t>
      </w:r>
    </w:p>
    <w:p>
      <w:pPr>
        <w:spacing w:after="120"/>
      </w:pPr>
      <w:r>
        <w:rPr>
          <w:b/>
          <w:bCs/>
          <w:color w:val="111827"/>
        </w:rPr>
        <w:t xml:space="preserve">IHG Brand Standards + HeartBeat: </w:t>
      </w:r>
      <w:r>
        <w:t xml:space="preserve">IHG Brand Standards inspection covers vending placement, accessibility, and product-mix balance. HeartBeat guest survey scores food + beverage at property.</w:t>
      </w:r>
    </w:p>
    <w:p>
      <w:pPr>
        <w:spacing w:after="120"/>
      </w:pPr>
      <w:r>
        <w:rPr>
          <w:b/>
          <w:bCs/>
          <w:color w:val="111827"/>
        </w:rPr>
        <w:t xml:space="preserve">AAA Diamond + Forbes Travel Guide: </w:t>
      </w:r>
      <w:r>
        <w:t xml:space="preserve">Four-Diamond and Four-Star+ properties are inspected on vending presentation + accessibility. Operator capability should support Four-Diamond inspection readiness for upscale properties.</w:t>
      </w:r>
    </w:p>
    <w:p>
      <w:pPr>
        <w:pStyle w:val="Heading1"/>
        <w:spacing w:after="150" w:before="300"/>
      </w:pPr>
      <w:r>
        <w:t xml:space="preserve">6. Pre-contract due diligence checklist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references — three properties of comparable scale + brand tier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vendor confirmation (Cantaloupe / Nayax / 365 Retail Markets / AWM)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 review — limits, additional-insured, waiver of subrogation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commission statement reviewed by hotel controller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SLA report reviewed by F&amp;B director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attestation + photo evidence of reach range at an existing operator location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Brand-standard alignment attestation (operator certifies BSA / OS&amp;E / IHG standards readiness)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Healthy-options planogram sample with allergen labeling per FALCPA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 + equipment-removal terms reviewed by hotel counsel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Coordination with the hotel beverage pouring-rights contract (Coca-Cola / PepsiCo) to avoid conflict</w:t>
      </w:r>
    </w:p>
    <w:p>
      <w:pPr>
        <w:pStyle w:val="Heading1"/>
        <w:spacing w:after="150" w:before="300"/>
      </w:pPr>
      <w:r>
        <w:t xml:space="preserve">7. Common contract gaps to close</w:t>
      </w:r>
    </w:p>
    <w:p>
      <w:pPr>
        <w:spacing w:after="120"/>
      </w:pPr>
      <w:r>
        <w:rPr>
          <w:b/>
          <w:bCs/>
          <w:color w:val="111827"/>
        </w:rPr>
        <w:t xml:space="preserve">No telemetry audit right: </w:t>
      </w:r>
      <w:r>
        <w:t xml:space="preserve">Without an audit-right clause, hotel cannot verify the commission base against operator-reported sales. Always include.</w:t>
      </w:r>
    </w:p>
    <w:p>
      <w:pPr>
        <w:spacing w:after="120"/>
      </w:pPr>
      <w:r>
        <w:rPr>
          <w:b/>
          <w:bCs/>
          <w:color w:val="111827"/>
        </w:rPr>
        <w:t xml:space="preserve">Auto-renewal trap: </w:t>
      </w:r>
      <w:r>
        <w:t xml:space="preserve">Five-year auto-renewal with 180-day notice is the industry norm; recommend a 90-day mutual extension instead, with a market-rate review at renewal.</w:t>
      </w:r>
    </w:p>
    <w:p>
      <w:pPr>
        <w:spacing w:after="120"/>
      </w:pPr>
      <w:r>
        <w:rPr>
          <w:b/>
          <w:bCs/>
          <w:color w:val="111827"/>
        </w:rPr>
        <w:t xml:space="preserve">Brand-conversion provision missing: </w:t>
      </w:r>
      <w:r>
        <w:t xml:space="preserve">If the property is sold or rebrands, equipment removal + commission true-up terms should be defined at signing.</w:t>
      </w:r>
    </w:p>
    <w:p>
      <w:pPr>
        <w:spacing w:after="120"/>
      </w:pPr>
      <w:r>
        <w:rPr>
          <w:b/>
          <w:bCs/>
          <w:color w:val="111827"/>
        </w:rPr>
        <w:t xml:space="preserve">Beverage pouring-rights conflict: </w:t>
      </w:r>
      <w:r>
        <w:t xml:space="preserve">Resort + full-service properties typically have a Coca-Cola or PepsiCo pouring-rights contract. The vending contract must align (typically by reference) or operator product mix will violate the pouring contract.</w:t>
      </w:r>
    </w:p>
    <w:p>
      <w:pPr>
        <w:spacing w:before="400"/>
      </w:pPr>
      <w:r>
        <w:rPr>
          <w:i/>
          <w:iCs/>
          <w:color w:val="6B7280"/>
        </w:rPr>
        <w:t xml:space="preserve">This template is a working contractual reference, not legal advice. Final contract should be reviewed by hotel counsel and aligned with the brand-standard documents that apply to your specific flag. Commission + SLA + telemetry clauses are the most commonly contested in the first 24 months; close those gaps before signing.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Vending Contract Template</dc:title>
  <dc:creator>LetUsVending</dc:creator>
  <dc:description>Eight contract dimensions, SLA clauses, and equipment-ownership comparison for full-service, select-service, and limited-service hotels</dc:description>
  <cp:lastModifiedBy>Un-named</cp:lastModifiedBy>
  <cp:revision>1</cp:revision>
  <dcterms:created xsi:type="dcterms:W3CDTF">2026-05-17T13:18:04.618Z</dcterms:created>
  <dcterms:modified xsi:type="dcterms:W3CDTF">2026-05-17T13:18:04.619Z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