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Vending Business Growth Framework</w:t>
      </w:r>
    </w:p>
    <w:p>
      <w:pPr>
        <w:spacing w:after="200"/>
      </w:pPr>
      <w:r>
        <w:rPr>
          <w:i/>
          <w:iCs/>
          <w:color w:val="6B7280"/>
        </w:rPr>
        <w:t xml:space="preserve">Six-dimension shift checklist, structured-account RFP capability matrix, eight-phase growth playbook</w:t>
      </w:r>
    </w:p>
    <w:p>
      <w:pPr>
        <w:spacing w:after="300"/>
      </w:pPr>
      <w:r>
        <w:t xml:space="preserve">Use this framework when moving from a 10-25 machine route to a structured 75-300 machine operation. Six operational dimensions must shift simultaneously; the eight-phase playbook below sequences that shift over 18-24 months.</w:t>
      </w:r>
    </w:p>
    <w:p>
      <w:pPr>
        <w:pStyle w:val="Heading1"/>
        <w:spacing w:after="150" w:before="300"/>
      </w:pPr>
      <w:r>
        <w:t xml:space="preserve">Six-dimension shift checklist</w:t>
      </w:r>
    </w:p>
    <w:p>
      <w:pPr>
        <w:spacing w:after="200"/>
      </w:pPr>
      <w:r>
        <w:t xml:space="preserve">Single-operator routes that try to grow without shifting all six dimensions stall around 30-40 machines, where the founder's manual restock + service capacity is saturated.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Dimension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Owner-operator (10-25 machines)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Structured operator (75-300 machines)</w:t>
            </w:r>
          </w:p>
        </w:tc>
      </w:tr>
      <w:tr>
        <w:tc>
          <w:p>
            <w:r>
              <w:t xml:space="preserve">Restock model</w:t>
            </w:r>
          </w:p>
        </w:tc>
        <w:tc>
          <w:p>
            <w:r>
              <w:t xml:space="preserve">Founder restocks manually</w:t>
            </w:r>
          </w:p>
        </w:tc>
        <w:tc>
          <w:p>
            <w:r>
              <w:t xml:space="preserve">Telemetry-driven; W-2 driver/merchandiser per route</w:t>
            </w:r>
          </w:p>
        </w:tc>
      </w:tr>
      <w:tr>
        <w:tc>
          <w:p>
            <w:r>
              <w:t xml:space="preserve">Service model</w:t>
            </w:r>
          </w:p>
        </w:tc>
        <w:tc>
          <w:p>
            <w:r>
              <w:t xml:space="preserve">Founder services + repairs</w:t>
            </w:r>
          </w:p>
        </w:tc>
        <w:tc>
          <w:p>
            <w:r>
              <w:t xml:space="preserve">Field service technician + parts inventory + SLA tiers</w:t>
            </w:r>
          </w:p>
        </w:tc>
      </w:tr>
      <w:tr>
        <w:tc>
          <w:p>
            <w:r>
              <w:t xml:space="preserve">Payment systems</w:t>
            </w:r>
          </w:p>
        </w:tc>
        <w:tc>
          <w:p>
            <w:r>
              <w:t xml:space="preserve">Mix of legacy + retrofit cashless</w:t>
            </w:r>
          </w:p>
        </w:tc>
        <w:tc>
          <w:p>
            <w:r>
              <w:t xml:space="preserve">100% PCI-DSS v4.0 cashless on every machine</w:t>
            </w:r>
          </w:p>
        </w:tc>
      </w:tr>
      <w:tr>
        <w:tc>
          <w:p>
            <w:r>
              <w:t xml:space="preserve">Reporting</w:t>
            </w:r>
          </w:p>
        </w:tc>
        <w:tc>
          <w:p>
            <w:r>
              <w:t xml:space="preserve">Spreadsheet-tracked sales</w:t>
            </w:r>
          </w:p>
        </w:tc>
        <w:tc>
          <w:p>
            <w:r>
              <w:t xml:space="preserve">BI dashboard (Cantaloupe / Nayax / Lightspeed) per machine + per route</w:t>
            </w:r>
          </w:p>
        </w:tc>
      </w:tr>
      <w:tr>
        <w:tc>
          <w:p>
            <w:r>
              <w:t xml:space="preserve">Account management</w:t>
            </w:r>
          </w:p>
        </w:tc>
        <w:tc>
          <w:p>
            <w:r>
              <w:t xml:space="preserve">Founder relationships</w:t>
            </w:r>
          </w:p>
        </w:tc>
        <w:tc>
          <w:p>
            <w:r>
              <w:t xml:space="preserve">Dedicated account manager per 30-50 accounts with QBR cadence</w:t>
            </w:r>
          </w:p>
        </w:tc>
      </w:tr>
      <w:tr>
        <w:tc>
          <w:p>
            <w:r>
              <w:t xml:space="preserve">Insurance + compliance</w:t>
            </w:r>
          </w:p>
        </w:tc>
        <w:tc>
          <w:p>
            <w:r>
              <w:t xml:space="preserve">Basic liability</w:t>
            </w:r>
          </w:p>
        </w:tc>
        <w:tc>
          <w:p>
            <w:r>
              <w:t xml:space="preserve">$2M product liability + cyber + state-specific compliance attestations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Structured-account RFP capability matrix</w:t>
      </w:r>
    </w:p>
    <w:p>
      <w:pPr>
        <w:spacing w:after="200"/>
      </w:pPr>
      <w:r>
        <w:t xml:space="preserve">Above 50 employees, most prospects issue RFPs scored on capability — not price. Use this matrix to self-score your own operation before responding.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Telemetry on 100% of machines — sub-15-minute heartbeat with per-SKU velocity.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PCI-DSS v4.0 attestation (SAQ-C-VT or ROC) with current date.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ADA Section 308 annual recertification process documented.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FDA Food Code 2022 cold-chain attestation for refrigerated SKUs.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Service SLA tiers (Tier-1 &lt; 24 hr, Tier-2 &lt; 7 day) with credits documented.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Refund flow: app + on-machine + SMS; refund-rate KPI &lt; 2%.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Planogram refresh cadence 45-60 days based on velocity.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QBR cadence quarterly with stockout-rate, refund-rate, action items.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Sample monthly + quarterly reports (anonymized) ready to share.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Three same-metro client references ready.</w:t>
      </w:r>
    </w:p>
    <w:p>
      <w:pPr>
        <w:pStyle w:val="Heading1"/>
        <w:spacing w:after="150" w:before="300"/>
      </w:pPr>
      <w:r>
        <w:t xml:space="preserve">Eight-phase growth playbook (months 1-24)</w:t>
      </w:r>
    </w:p>
    <w:p>
      <w:pPr>
        <w:spacing w:after="60" w:before="120"/>
      </w:pPr>
      <w:r>
        <w:rPr>
          <w:b/>
          <w:bCs/>
        </w:rPr>
        <w:t xml:space="preserve">1. Months 1-3 — Telemetry retrofit + baseline</w:t>
      </w:r>
    </w:p>
    <w:p>
      <w:pPr>
        <w:spacing w:after="120"/>
      </w:pPr>
      <w:r>
        <w:t xml:space="preserve">Retrofit Cantaloupe / Nayax / equivalent on every active machine. Establish per-machine baseline (uptime, stockout incidents, revenue, refund rate).</w:t>
      </w:r>
    </w:p>
    <w:p>
      <w:pPr>
        <w:spacing w:after="60" w:before="120"/>
      </w:pPr>
      <w:r>
        <w:rPr>
          <w:b/>
          <w:bCs/>
        </w:rPr>
        <w:t xml:space="preserve">2. Months 2-4 — PCI-DSS attestation + cashless 100%</w:t>
      </w:r>
    </w:p>
    <w:p>
      <w:pPr>
        <w:spacing w:after="120"/>
      </w:pPr>
      <w:r>
        <w:t xml:space="preserve">Complete SAQ-C-VT for v4.0. Retrofit cashless on any legacy machine; retire machines that can't be retrofitted economically.</w:t>
      </w:r>
    </w:p>
    <w:p>
      <w:pPr>
        <w:spacing w:after="60" w:before="120"/>
      </w:pPr>
      <w:r>
        <w:rPr>
          <w:b/>
          <w:bCs/>
        </w:rPr>
        <w:t xml:space="preserve">3. Months 3-6 — First W-2 driver/merchandiser</w:t>
      </w:r>
    </w:p>
    <w:p>
      <w:pPr>
        <w:spacing w:after="120"/>
      </w:pPr>
      <w:r>
        <w:t xml:space="preserve">Hire first full-time driver covering 25-40 stops. Document SOP for restock + service + refund handling.</w:t>
      </w:r>
    </w:p>
    <w:p>
      <w:pPr>
        <w:spacing w:after="60" w:before="120"/>
      </w:pPr>
      <w:r>
        <w:rPr>
          <w:b/>
          <w:bCs/>
        </w:rPr>
        <w:t xml:space="preserve">4. Months 5-9 — Account management role</w:t>
      </w:r>
    </w:p>
    <w:p>
      <w:pPr>
        <w:spacing w:after="120"/>
      </w:pPr>
      <w:r>
        <w:t xml:space="preserve">First account manager (initially founder, eventually dedicated hire) running QBR cadence on top 10 accounts. Documented planogram refresh cycle.</w:t>
      </w:r>
    </w:p>
    <w:p>
      <w:pPr>
        <w:spacing w:after="60" w:before="120"/>
      </w:pPr>
      <w:r>
        <w:rPr>
          <w:b/>
          <w:bCs/>
        </w:rPr>
        <w:t xml:space="preserve">5. Months 6-12 — Compliance kit + insurance upgrade</w:t>
      </w:r>
    </w:p>
    <w:p>
      <w:pPr>
        <w:spacing w:after="120"/>
      </w:pPr>
      <w:r>
        <w:t xml:space="preserve">Product liability to $2M; cyber liability ≥ $1M; ADA + cold-chain attestation processes documented; state-specific addenda template ready.</w:t>
      </w:r>
    </w:p>
    <w:p>
      <w:pPr>
        <w:spacing w:after="60" w:before="120"/>
      </w:pPr>
      <w:r>
        <w:rPr>
          <w:b/>
          <w:bCs/>
        </w:rPr>
        <w:t xml:space="preserve">6. Months 9-15 — RFP capability rolled into sales motion</w:t>
      </w:r>
    </w:p>
    <w:p>
      <w:pPr>
        <w:spacing w:after="120"/>
      </w:pPr>
      <w:r>
        <w:t xml:space="preserve">Capability matrix becomes the sales pitch (replaces price-anchored sales). Win rate on RFPs &gt; 50K-employee prospects climbs from 5-10% to 25-35%.</w:t>
      </w:r>
    </w:p>
    <w:p>
      <w:pPr>
        <w:spacing w:after="60" w:before="120"/>
      </w:pPr>
      <w:r>
        <w:rPr>
          <w:b/>
          <w:bCs/>
        </w:rPr>
        <w:t xml:space="preserve">7. Months 12-18 — Field service tech + parts inventory</w:t>
      </w:r>
    </w:p>
    <w:p>
      <w:pPr>
        <w:spacing w:after="120"/>
      </w:pPr>
      <w:r>
        <w:t xml:space="preserve">Second technical hire (field service) carries parts inventory; Tier-1 SLA improves to ≥ 95% &lt; 24 hours.</w:t>
      </w:r>
    </w:p>
    <w:p>
      <w:pPr>
        <w:spacing w:after="60" w:before="120"/>
      </w:pPr>
      <w:r>
        <w:rPr>
          <w:b/>
          <w:bCs/>
        </w:rPr>
        <w:t xml:space="preserve">8. Months 18-24 — Scaled BI + multi-region planning</w:t>
      </w:r>
    </w:p>
    <w:p>
      <w:pPr>
        <w:spacing w:after="120"/>
      </w:pPr>
      <w:r>
        <w:t xml:space="preserve">BI dashboard rolled out to every account manager; second region or warehouse hub launched once core route exceeds 100 machines within drive-time radius.</w:t>
      </w:r>
    </w:p>
    <w:p>
      <w:pPr>
        <w:pStyle w:val="Heading1"/>
        <w:spacing w:after="150" w:before="300"/>
      </w:pPr>
      <w:r>
        <w:t xml:space="preserve">Common stall points + corrective actions</w:t>
      </w:r>
    </w:p>
    <w:p>
      <w:pPr>
        <w:spacing w:after="60" w:before="120"/>
      </w:pPr>
      <w:r>
        <w:rPr>
          <w:b/>
          <w:bCs/>
        </w:rPr>
        <w:t xml:space="preserve">1. Stall at 30-40 machines (founder service saturation)</w:t>
      </w:r>
    </w:p>
    <w:p>
      <w:pPr>
        <w:spacing w:after="120"/>
      </w:pPr>
      <w:r>
        <w:t xml:space="preserve">Action: Hire driver/merchandiser before adding more stops. Add a service tech once driver covers 35+ stops.</w:t>
      </w:r>
    </w:p>
    <w:p>
      <w:pPr>
        <w:spacing w:after="60" w:before="120"/>
      </w:pPr>
      <w:r>
        <w:rPr>
          <w:b/>
          <w:bCs/>
        </w:rPr>
        <w:t xml:space="preserve">2. Stall at 50-75 machines (capability gap on RFPs)</w:t>
      </w:r>
    </w:p>
    <w:p>
      <w:pPr>
        <w:spacing w:after="120"/>
      </w:pPr>
      <w:r>
        <w:t xml:space="preserve">Action: Complete the structured RFP capability matrix; PCI-DSS, ADA, cold-chain attestations are required for accounts above 75 employees.</w:t>
      </w:r>
    </w:p>
    <w:p>
      <w:pPr>
        <w:spacing w:after="60" w:before="120"/>
      </w:pPr>
      <w:r>
        <w:rPr>
          <w:b/>
          <w:bCs/>
        </w:rPr>
        <w:t xml:space="preserve">3. Stall at 100 machines (drive-time + warehouse capacity)</w:t>
      </w:r>
    </w:p>
    <w:p>
      <w:pPr>
        <w:spacing w:after="120"/>
      </w:pPr>
      <w:r>
        <w:t xml:space="preserve">Action: Second regional warehouse OR consolidate to higher-velocity stops. Drive-time &gt; 45 minutes per stop kills route economics.</w:t>
      </w:r>
    </w:p>
    <w:p>
      <w:pPr>
        <w:spacing w:after="60" w:before="120"/>
      </w:pPr>
      <w:r>
        <w:rPr>
          <w:b/>
          <w:bCs/>
        </w:rPr>
        <w:t xml:space="preserve">4. Stall at 150-200 machines (account-management bandwidth)</w:t>
      </w:r>
    </w:p>
    <w:p>
      <w:pPr>
        <w:spacing w:after="120"/>
      </w:pPr>
      <w:r>
        <w:t xml:space="preserve">Action: Second account manager; QBR rotation; structured renewal pipeline ≥ 90 days before MSA term ends.</w:t>
      </w:r>
    </w:p>
    <w:p>
      <w:pPr>
        <w:pStyle w:val="Heading1"/>
        <w:spacing w:after="150" w:before="300"/>
      </w:pPr>
      <w:r>
        <w:t xml:space="preserve">KPIs to track quarterly</w:t>
      </w:r>
    </w:p>
    <w:p>
      <w:pPr>
        <w:spacing w:after="120"/>
      </w:pPr>
      <w:r>
        <w:rPr>
          <w:b/>
          <w:bCs/>
          <w:color w:val="111827"/>
        </w:rPr>
        <w:t xml:space="preserve">Route economics: </w:t>
      </w:r>
      <w:r>
        <w:t xml:space="preserve">Revenue per machine per month; revenue per drive-time hour; gross margin per route.</w:t>
      </w:r>
    </w:p>
    <w:p>
      <w:pPr>
        <w:spacing w:after="120"/>
      </w:pPr>
      <w:r>
        <w:rPr>
          <w:b/>
          <w:bCs/>
          <w:color w:val="111827"/>
        </w:rPr>
        <w:t xml:space="preserve">Service health: </w:t>
      </w:r>
      <w:r>
        <w:t xml:space="preserve">Uptime %, Tier-1 SLA adherence %, stockout incidents per machine, refund rate %.</w:t>
      </w:r>
    </w:p>
    <w:p>
      <w:pPr>
        <w:spacing w:after="120"/>
      </w:pPr>
      <w:r>
        <w:rPr>
          <w:b/>
          <w:bCs/>
          <w:color w:val="111827"/>
        </w:rPr>
        <w:t xml:space="preserve">Account health: </w:t>
      </w:r>
      <w:r>
        <w:t xml:space="preserve">Account retention rate (target ≥ 90% annual); NPS or CSAT (target ≥ 50); renewal rate at MSA expiry (target ≥ 80%).</w:t>
      </w:r>
    </w:p>
    <w:p>
      <w:pPr>
        <w:spacing w:after="120"/>
      </w:pPr>
      <w:r>
        <w:rPr>
          <w:b/>
          <w:bCs/>
          <w:color w:val="111827"/>
        </w:rPr>
        <w:t xml:space="preserve">Sales pipeline: </w:t>
      </w:r>
      <w:r>
        <w:t xml:space="preserve">RFPs in flight; win rate by audience size; new-account pipeline 90 / 180 / 360 days.</w:t>
      </w:r>
    </w:p>
    <w:p>
      <w:pPr>
        <w:spacing w:after="120"/>
      </w:pPr>
      <w:r>
        <w:rPr>
          <w:b/>
          <w:bCs/>
          <w:color w:val="111827"/>
        </w:rPr>
        <w:t xml:space="preserve">Compliance: </w:t>
      </w:r>
      <w:r>
        <w:t xml:space="preserve">PCI-DSS attestation current; ADA recertification current; cold-chain attestation current; COI current.</w:t>
      </w:r>
    </w:p>
    <w:p>
      <w:pPr>
        <w:spacing w:before="400"/>
      </w:pPr>
      <w:r>
        <w:rPr>
          <w:i/>
          <w:iCs/>
          <w:color w:val="6B7280"/>
        </w:rPr>
        <w:t xml:space="preserve">This framework is operational guidance for owner-operators planning a structured growth path. Adapt KPIs and milestones to your route economics and regional drive-time realities.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Vending Business Growth Framework</dc:title>
  <dc:creator>LetUsVending</dc:creator>
  <dc:description>Six-dimension shift checklist, structured-account RFP capability matrix, eight-phase growth playbook</dc:description>
  <cp:lastModifiedBy>Un-named</cp:lastModifiedBy>
  <cp:revision>1</cp:revision>
  <dcterms:created xsi:type="dcterms:W3CDTF">2026-05-17T13:18:05.159Z</dcterms:created>
  <dcterms:modified xsi:type="dcterms:W3CDTF">2026-05-17T13:18:05.159Z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