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Contract Negotiation Framework</w:t>
      </w:r>
    </w:p>
    <w:p>
      <w:pPr>
        <w:spacing w:after="200"/>
      </w:pPr>
      <w:r>
        <w:rPr>
          <w:i/>
          <w:iCs/>
          <w:color w:val="6B7280"/>
        </w:rPr>
        <w:t xml:space="preserve">Seven-lever checklist, RFP capability matrix, MSA amendment template</w:t>
      </w:r>
    </w:p>
    <w:p>
      <w:pPr>
        <w:spacing w:after="300"/>
      </w:pPr>
      <w:r>
        <w:t xml:space="preserve">Use this framework when negotiating a vending or micro-market MSA from the host side. Most operator-drafted MSAs favor the operator on 5-7 of the seven levers below; structured negotiation typically improves 4-5 levers without affecting price. Standards cite PCI-DSS v4.0, ADA 2010, FDA Food Code 2022, and Automatic Merchandiser 2024 SOI commission benchmarks.</w:t>
      </w:r>
    </w:p>
    <w:p>
      <w:pPr>
        <w:pStyle w:val="Heading1"/>
        <w:spacing w:after="150" w:before="300"/>
      </w:pPr>
      <w:r>
        <w:t xml:space="preserve">Seven negotiation levers</w:t>
      </w:r>
    </w:p>
    <w:p>
      <w:pPr>
        <w:spacing w:after="200"/>
      </w:pPr>
      <w:r>
        <w:t xml:space="preserve">Operator-drafted MSAs are negotiable on every lever below. The key is naming each lever and presenting a defensible counter — not a vague 'we want better terms.'</w:t>
      </w:r>
    </w:p>
    <w:p>
      <w:pPr>
        <w:spacing w:after="60" w:before="120"/>
      </w:pPr>
      <w:r>
        <w:rPr>
          <w:b/>
          <w:bCs/>
        </w:rPr>
        <w:t xml:space="preserve">1. Term + renewal</w:t>
      </w:r>
    </w:p>
    <w:p>
      <w:pPr>
        <w:spacing w:after="120"/>
      </w:pPr>
      <w:r>
        <w:t xml:space="preserve">Operator default: 3-5 years with auto-renewal. Counter: 2 years initial, month-to-month after, 60-day non-renewal notice. Defends against locked-in underperformance.</w:t>
      </w:r>
    </w:p>
    <w:p>
      <w:pPr>
        <w:spacing w:after="60" w:before="120"/>
      </w:pPr>
      <w:r>
        <w:rPr>
          <w:b/>
          <w:bCs/>
        </w:rPr>
        <w:t xml:space="preserve">2. Commission structure</w:t>
      </w:r>
    </w:p>
    <w:p>
      <w:pPr>
        <w:spacing w:after="120"/>
      </w:pPr>
      <w:r>
        <w:t xml:space="preserve">Operator default: gross-sales % with no audit. Counter: net-sales % (after tax, refunds, processing fees), monthly reporting, annual audit right.</w:t>
      </w:r>
    </w:p>
    <w:p>
      <w:pPr>
        <w:spacing w:after="60" w:before="120"/>
      </w:pPr>
      <w:r>
        <w:rPr>
          <w:b/>
          <w:bCs/>
        </w:rPr>
        <w:t xml:space="preserve">3. Service SLA + credits</w:t>
      </w:r>
    </w:p>
    <w:p>
      <w:pPr>
        <w:spacing w:after="120"/>
      </w:pPr>
      <w:r>
        <w:t xml:space="preserve">Operator default: best-efforts language. Counter: tiered SLA (Tier-1 &lt; 24 hr, Tier-2 &lt; 7 day, Tier-3 &lt; 14 day) with commission credits for missed SLA.</w:t>
      </w:r>
    </w:p>
    <w:p>
      <w:pPr>
        <w:spacing w:after="60" w:before="120"/>
      </w:pPr>
      <w:r>
        <w:rPr>
          <w:b/>
          <w:bCs/>
        </w:rPr>
        <w:t xml:space="preserve">4. Termination + cure</w:t>
      </w:r>
    </w:p>
    <w:p>
      <w:pPr>
        <w:spacing w:after="120"/>
      </w:pPr>
      <w:r>
        <w:t xml:space="preserve">Operator default: cause-only termination with 90-day cure. Counter: 30-90 day convenience termination + 30-day cure on material breach; immediate termination for foodborne illness, PCI breach, ADA non-conformance.</w:t>
      </w:r>
    </w:p>
    <w:p>
      <w:pPr>
        <w:spacing w:after="60" w:before="120"/>
      </w:pPr>
      <w:r>
        <w:rPr>
          <w:b/>
          <w:bCs/>
        </w:rPr>
        <w:t xml:space="preserve">5. Compliance attestations</w:t>
      </w:r>
    </w:p>
    <w:p>
      <w:pPr>
        <w:spacing w:after="120"/>
      </w:pPr>
      <w:r>
        <w:t xml:space="preserve">Operator default: omitted or vague. Counter: explicit PCI-DSS v4.0 + ADA Section 308 + FDA Food Code 2022 + FALCPA + state sales tax attestations; annual refresh; material-breach trigger if lapse.</w:t>
      </w:r>
    </w:p>
    <w:p>
      <w:pPr>
        <w:spacing w:after="60" w:before="120"/>
      </w:pPr>
      <w:r>
        <w:rPr>
          <w:b/>
          <w:bCs/>
        </w:rPr>
        <w:t xml:space="preserve">6. Indemnification + insurance</w:t>
      </w:r>
    </w:p>
    <w:p>
      <w:pPr>
        <w:spacing w:after="120"/>
      </w:pPr>
      <w:r>
        <w:t xml:space="preserve">Operator default: mutual indemnification, $1M product liability. Counter: operator indemnifies host for foodborne illness, PCI breach, ADA, sales-tax error; product liability ≥ $2M; cyber liability ≥ $1M; host named additional insured.</w:t>
      </w:r>
    </w:p>
    <w:p>
      <w:pPr>
        <w:spacing w:after="60" w:before="120"/>
      </w:pPr>
      <w:r>
        <w:rPr>
          <w:b/>
          <w:bCs/>
        </w:rPr>
        <w:t xml:space="preserve">7. Refund + customer-service flow</w:t>
      </w:r>
    </w:p>
    <w:p>
      <w:pPr>
        <w:spacing w:after="120"/>
      </w:pPr>
      <w:r>
        <w:t xml:space="preserve">Operator default: refund 'as available.' Counter: app + on-machine touchpad + SMS refund mechanisms; cashless refund &lt; 24 hours; refund-rate KPI &lt; 2% with root-cause review trigger.</w:t>
      </w:r>
    </w:p>
    <w:p>
      <w:pPr>
        <w:pStyle w:val="Heading1"/>
        <w:spacing w:after="150" w:before="300"/>
      </w:pPr>
      <w:r>
        <w:t xml:space="preserve">RFP capability matrix — score operators before MSA negotiation</w:t>
      </w:r>
    </w:p>
    <w:p>
      <w:pPr>
        <w:spacing w:after="200"/>
      </w:pPr>
      <w:r>
        <w:t xml:space="preserve">Operators score themselves higher than reality on capability. Verify each line with reference calls and documentation requests.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score (1-5)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Verification method</w:t>
            </w:r>
          </w:p>
        </w:tc>
      </w:tr>
      <w:tr>
        <w:tc>
          <w:p>
            <w:r>
              <w:t xml:space="preserve">Telemetry — sub-15-minute heartbeat, per-SKU velocity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Live dashboard demo</w:t>
            </w:r>
          </w:p>
        </w:tc>
      </w:tr>
      <w:tr>
        <w:tc>
          <w:p>
            <w:r>
              <w:t xml:space="preserve">PCI-DSS v4.0 attestation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Current SAQ-C-VT or ROC document</w:t>
            </w:r>
          </w:p>
        </w:tc>
      </w:tr>
      <w:tr>
        <w:tc>
          <w:p>
            <w:r>
              <w:t xml:space="preserve">ADA Section 308 annual recertification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Recent attestation + photos</w:t>
            </w:r>
          </w:p>
        </w:tc>
      </w:tr>
      <w:tr>
        <w:tc>
          <w:p>
            <w:r>
              <w:t xml:space="preserve">FDA Food Code 2022 cold-chain attestation</w:t>
            </w:r>
          </w:p>
        </w:tc>
        <w:tc>
          <w:p>
            <w:r>
              <w:t xml:space="preserve">Yes (refrigerated)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Sample cold-chain log</w:t>
            </w:r>
          </w:p>
        </w:tc>
      </w:tr>
      <w:tr>
        <w:tc>
          <w:p>
            <w:r>
              <w:t xml:space="preserve">Service SLA tier structure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MSA template + reference call</w:t>
            </w:r>
          </w:p>
        </w:tc>
      </w:tr>
      <w:tr>
        <w:tc>
          <w:p>
            <w:r>
              <w:t xml:space="preserve">Refund flow: app + on-machine + SMS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Live demo + reference call</w:t>
            </w:r>
          </w:p>
        </w:tc>
      </w:tr>
      <w:tr>
        <w:tc>
          <w:p>
            <w:r>
              <w:t xml:space="preserve">QBR cadence quarterly with action items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Sample QBR minutes</w:t>
            </w:r>
          </w:p>
        </w:tc>
      </w:tr>
      <w:tr>
        <w:tc>
          <w:p>
            <w:r>
              <w:t xml:space="preserve">Three same-metro references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Direct reference call to each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Commission benchmarks — defensible counters</w:t>
      </w:r>
    </w:p>
    <w:p>
      <w:pPr>
        <w:spacing w:after="200"/>
      </w:pPr>
      <w:r>
        <w:t xml:space="preserve">Reflect Automatic Merchandiser 2024 SOI commission ranges. Use these to counter operator opening offers.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Stop 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opening (typical)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Defensible counter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Industry range</w:t>
            </w:r>
          </w:p>
        </w:tc>
      </w:tr>
      <w:tr>
        <w:tc>
          <w:p>
            <w:r>
              <w:t xml:space="preserve">Small office (&lt; 50 employees)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0-5% or service-level guarantees in lieu of commission</w:t>
            </w:r>
          </w:p>
        </w:tc>
        <w:tc>
          <w:p>
            <w:r>
              <w:t xml:space="preserve">0-10%</w:t>
            </w:r>
          </w:p>
        </w:tc>
      </w:tr>
      <w:tr>
        <w:tc>
          <w:p>
            <w:r>
              <w:t xml:space="preserve">Mid office (50-200 employees)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12-18% on net sales</w:t>
            </w:r>
          </w:p>
        </w:tc>
        <w:tc>
          <w:p>
            <w:r>
              <w:t xml:space="preserve">10-20%</w:t>
            </w:r>
          </w:p>
        </w:tc>
      </w:tr>
      <w:tr>
        <w:tc>
          <w:p>
            <w:r>
              <w:t xml:space="preserve">Large office (200+ employees)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18-25% on net sales</w:t>
            </w:r>
          </w:p>
        </w:tc>
        <w:tc>
          <w:p>
            <w:r>
              <w:t xml:space="preserve">15-30%</w:t>
            </w:r>
          </w:p>
        </w:tc>
      </w:tr>
      <w:tr>
        <w:tc>
          <w:p>
            <w:r>
              <w:t xml:space="preserve">Industrial / 24/7 (any size)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15-20% (operator's higher service cost balances)</w:t>
            </w:r>
          </w:p>
        </w:tc>
        <w:tc>
          <w:p>
            <w:r>
              <w:t xml:space="preserve">15-25%</w:t>
            </w:r>
          </w:p>
        </w:tc>
      </w:tr>
      <w:tr>
        <w:tc>
          <w:p>
            <w:r>
              <w:t xml:space="preserve">School (K-12)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15-20% with Smart Snacks compliance attestation</w:t>
            </w:r>
          </w:p>
        </w:tc>
        <w:tc>
          <w:p>
            <w:r>
              <w:t xml:space="preserve">10-25%</w:t>
            </w:r>
          </w:p>
        </w:tc>
      </w:tr>
      <w:tr>
        <w:tc>
          <w:p>
            <w:r>
              <w:t xml:space="preserve">Hospital / healthcare</w:t>
            </w:r>
          </w:p>
        </w:tc>
        <w:tc>
          <w:p>
            <w:r>
              <w:t xml:space="preserve">12%</w:t>
            </w:r>
          </w:p>
        </w:tc>
        <w:tc>
          <w:p>
            <w:r>
              <w:t xml:space="preserve">15-22% on net sales</w:t>
            </w:r>
          </w:p>
        </w:tc>
        <w:tc>
          <w:p>
            <w:r>
              <w:t xml:space="preserve">15-25%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MSA amendment template — common requested changes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Replace 'gross sales' with 'net sales' (after sales tax, refunds, processing fees) in commission clause.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Replace 'best efforts' with specific Tier-1 / Tier-2 / Tier-3 SLA targets and commission credits.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Add explicit compliance attestation schedule (PCI-DSS + ADA + FDA + sales tax) with annual refresh.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Replace operator-state governing-law clause with host-state governing law.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Add audit right — host can audit operator records on 30 days notice annually.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Add convenience-termination clause with 60-90 day notice; no exit fees.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Add data-processing addendum if app collects PII.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Add immediate-termination triggers (foodborne illness, PCI breach, ADA non-conformance).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Add equipment-removal clause — 30 days at operator expense after termination.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Add SLA-credit table as Exhibit to MSA.</w:t>
      </w:r>
    </w:p>
    <w:p>
      <w:pPr>
        <w:pStyle w:val="Heading1"/>
        <w:spacing w:after="150" w:before="300"/>
      </w:pPr>
      <w:r>
        <w:t xml:space="preserve">Negotiation tactics</w:t>
      </w:r>
    </w:p>
    <w:p>
      <w:pPr>
        <w:spacing w:after="60" w:before="120"/>
      </w:pPr>
      <w:r>
        <w:rPr>
          <w:b/>
          <w:bCs/>
        </w:rPr>
        <w:t xml:space="preserve">1. Lead with capability, not price</w:t>
      </w:r>
    </w:p>
    <w:p>
      <w:pPr>
        <w:spacing w:after="120"/>
      </w:pPr>
      <w:r>
        <w:t xml:space="preserve">Open the negotiation with the capability matrix. Operators expecting a price negotiation are unprepared for a capability-led negotiation and concede non-price terms quickly.</w:t>
      </w:r>
    </w:p>
    <w:p>
      <w:pPr>
        <w:spacing w:after="60" w:before="120"/>
      </w:pPr>
      <w:r>
        <w:rPr>
          <w:b/>
          <w:bCs/>
        </w:rPr>
        <w:t xml:space="preserve">2. Reference the industry standards</w:t>
      </w:r>
    </w:p>
    <w:p>
      <w:pPr>
        <w:spacing w:after="120"/>
      </w:pPr>
      <w:r>
        <w:t xml:space="preserve">Cite NAMA, Automatic Merchandiser SOI, PCI-DSS, FDA Food Code. Operators with documented compliance respect cited standards.</w:t>
      </w:r>
    </w:p>
    <w:p>
      <w:pPr>
        <w:spacing w:after="60" w:before="120"/>
      </w:pPr>
      <w:r>
        <w:rPr>
          <w:b/>
          <w:bCs/>
        </w:rPr>
        <w:t xml:space="preserve">3. Use the audit / reference call as leverage</w:t>
      </w:r>
    </w:p>
    <w:p>
      <w:pPr>
        <w:spacing w:after="120"/>
      </w:pPr>
      <w:r>
        <w:t xml:space="preserve">If reference calls surface SLA or refund concerns, ask the operator to address those concerns explicitly in the MSA.</w:t>
      </w:r>
    </w:p>
    <w:p>
      <w:pPr>
        <w:spacing w:after="60" w:before="120"/>
      </w:pPr>
      <w:r>
        <w:rPr>
          <w:b/>
          <w:bCs/>
        </w:rPr>
        <w:t xml:space="preserve">4. Stage concessions</w:t>
      </w:r>
    </w:p>
    <w:p>
      <w:pPr>
        <w:spacing w:after="120"/>
      </w:pPr>
      <w:r>
        <w:t xml:space="preserve">Offer concessions on lower-stakes levers (e.g., 30 vs 60 day notice) in exchange for high-stakes wins (e.g., immediate termination for foodborne illness).</w:t>
      </w:r>
    </w:p>
    <w:p>
      <w:pPr>
        <w:spacing w:after="60" w:before="120"/>
      </w:pPr>
      <w:r>
        <w:rPr>
          <w:b/>
          <w:bCs/>
        </w:rPr>
        <w:t xml:space="preserve">5. Walk away if seven levers fail to move</w:t>
      </w:r>
    </w:p>
    <w:p>
      <w:pPr>
        <w:spacing w:after="120"/>
      </w:pPr>
      <w:r>
        <w:t xml:space="preserve">An operator unwilling to negotiate any of the seven levers is signaling they expect to underperform. Award to a different operator.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advice. Have a state-licensed attorney review the final MSA before signature; state-specific clauses require local counsel.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Contract Negotiation Framework</dc:title>
  <dc:creator>LetUsVending</dc:creator>
  <dc:description>Seven-lever checklist, RFP capability matrix, MSA amendment template</dc:description>
  <cp:lastModifiedBy>Un-named</cp:lastModifiedBy>
  <cp:revision>1</cp:revision>
  <dcterms:created xsi:type="dcterms:W3CDTF">2026-05-17T13:18:05.323Z</dcterms:created>
  <dcterms:modified xsi:type="dcterms:W3CDTF">2026-05-17T13:18:05.324Z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