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Interactive Vending Screen Verification Framework</w:t>
      </w:r>
    </w:p>
    <w:p>
      <w:pPr>
        <w:spacing w:after="200"/>
      </w:pPr>
      <w:r>
        <w:rPr>
          <w:i/>
          <w:iCs/>
          <w:color w:val="6B7280"/>
        </w:rPr>
        <w:t xml:space="preserve">Capability checklist + MDM + ADA / Section 508 + nutrition disclosure + privacy</w:t>
      </w:r>
    </w:p>
    <w:p>
      <w:pPr>
        <w:spacing w:after="300"/>
      </w:pPr>
      <w:r>
        <w:t xml:space="preserve">Touchscreen-equipped vending machines (Crane Merchandising Systems Streamware-enabled, AMS Touch, USA Technologies / Cantaloupe ePort Engage, Vendekin, smart coolers from Cooler Screens, AAEON, Selecta) introduce new procurement scrutiny: mobile-device management (MDM) for content / firmware, ADA + Section 508 conformance on the interface, FDA calorie-disclosure rules for menu-board-style displays, and US state privacy law obligations where the screen captures imagery or behavior. This framework gives facilities, procurement, and IT a contract-ready verification checklist.</w:t>
      </w:r>
    </w:p>
    <w:p>
      <w:pPr>
        <w:pStyle w:val="Heading1"/>
        <w:spacing w:after="150" w:before="300"/>
      </w:pPr>
      <w:r>
        <w:t xml:space="preserve">1. Hardware capability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Touchscreen ≥ 21.5 in for full menu-board UX; ≥ 7 in acceptable as selector display.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Capacitive (PCAP) touch with glove-mode support where industrial / cold-room placement.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Brightness ≥ 700 nits where ambient lighting ≥ 500 lux; sun-readable ≥ 1,500 nits at semi-outdoor placement.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IP-rated bezel (IP54+) where wash-down or splash risk; tempered + anti-vandal cover glass.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Headphone jack (3.5 mm) for audio output per Section 508 / WCAG 2.1 AA.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On-screen keyboard + dwell-click support for limited-mobility users.</w:t>
      </w:r>
    </w:p>
    <w:p>
      <w:pPr>
        <w:pStyle w:val="Heading1"/>
        <w:spacing w:after="150" w:before="300"/>
      </w:pPr>
      <w:r>
        <w:t xml:space="preserve">2. MDM + content management</w:t>
      </w:r>
    </w:p>
    <w:p>
      <w:pPr>
        <w:spacing w:after="200"/>
      </w:pPr>
      <w:r>
        <w:t xml:space="preserve">Operator must run a managed-device infrastructure equivalent to an enterprise MDM (Microsoft Intune, Jamf, SOTI, VMware Workspace ONE). Without MDM the screen becomes a managed-content liability — stale calorie labels, expired promotions, unauthorized content.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MDM platform documented; firmware + content push remote-managed.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Content workflow: planogram changes pushed to screen within 24 hours of operator system update.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Calorie + allergen content tied to SKU master; updates push automatically with planogram.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Content approval gate: facility / SFA / wellness committee has review-and-block right on creative content.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 log: content + firmware change events retained 12 months minimum.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mode locked; OS-level access prevented (Android Enterprise / Windows Assigned Access).</w:t>
      </w:r>
    </w:p>
    <w:p>
      <w:pPr>
        <w:pStyle w:val="Heading1"/>
        <w:spacing w:after="150" w:before="300"/>
      </w:pPr>
      <w:r>
        <w:t xml:space="preserve">3. ADA + Section 508 + WCAG 2.1 AA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VPAT 2.5 (Voluntary Product Accessibility Template) dated within 12 months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Touchscreen highest operable target ≤ 48 in AFF (2010 ADA Standards 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Operating force ≤ 5 lbf; usable with one hand and no tight grasping (Section 309.4).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Audio output via 3.5 mm jack supports screen-reader-equivalent narration of menu + price + allergen.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Text contrast ratio ≥ 4.5:1 (WCAG 1.4.3); ≥ 3:1 for large text.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Font size minimum equivalent to 14-pt at typical viewing distance; magnification supported.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Touch target ≥ 9.6 mm (WCAG 2.5.5 enhanced); spacing prevents adjacent-selection error.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Dwell-click / sticky-keys / single-hand operation modes supported.</w:t>
      </w:r>
    </w:p>
    <w:p>
      <w:pPr>
        <w:pStyle w:val="Heading1"/>
        <w:spacing w:after="150" w:before="300"/>
      </w:pPr>
      <w:r>
        <w:t xml:space="preserve">4. Nutrition + calorie disclosure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Menu Labeling Rule (21 CFR 101.8) applies to chains with 20+ machines under common ownership — verify scope.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Calorie display per selection (and per item where multi-serve) — same display prominence as price.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labeling per FALCPA (21 U.S.C. 343); Big 9 allergens including sesame (FASTER Act 2021).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Smart Snacks SKU flags at K-12 placements per 7 CFR 210.11.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Nutrition Facts panel viewable on-screen or via QR linking to authoritative source (SKU master).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 / city overlays verified: New York City Health Code Section 81.50 (calorie posting), California Prop 65 (acrylamide / heavy metals).</w:t>
      </w:r>
    </w:p>
    <w:p>
      <w:pPr>
        <w:pStyle w:val="Heading1"/>
        <w:spacing w:after="150" w:before="300"/>
      </w:pPr>
      <w:r>
        <w:t xml:space="preserve">5. Privacy + data — US state law overlay</w:t>
      </w:r>
    </w:p>
    <w:p>
      <w:pPr>
        <w:spacing w:after="200"/>
      </w:pPr>
      <w:r>
        <w:t xml:space="preserve">Smart coolers + camera-equipped screens may collect imagery, demographic inference, dwell time, or behavioral data — triggering CCPA/CPRA (California), VCDPA (Virginia), CPA (Colorado), CTDPA (Connecticut), UCPA (Utah), and 15+ other state laws active or in-effect through 2026.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data-collection inventory documented: imagery (yes/no), facial analysis (yes/no), dwell time, transaction telemetry.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Privacy notice posted at machine + on operator website per CCPA §1798.100; mirror disclosures for VCDPA / CPA / CTDPA / UCPA.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facial analysis: BIPA (Illinois 740 ILCS 14) consent obtained where applicable; Texas CUBI (Tex. Bus. &amp; Com. Code 503.001) and Washington (RCW 19.375) overlays verified.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targeted advertising: opt-out mechanism + Global Privacy Control honored.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Data retention schedule documented; minimum-necessary principle applied.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Vendor data processing agreement (DPA) in place; sub-processor list maintained.</w:t>
      </w:r>
    </w:p>
    <w:p>
      <w:pPr>
        <w:pStyle w:val="Heading1"/>
        <w:spacing w:after="150" w:before="300"/>
      </w:pPr>
      <w:r>
        <w:t xml:space="preserve">6. Security + payment integration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 via PCI PTS v6+ approved terminal; PCI DSS v4.0.1 AOC on file (effective 31 March 2025).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Touchscreen UX never captures PAN; payment device handles entry + tokenization.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P2PE v3.1 or strong tokenization; no PAN on operator host.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Screen-to-network: TLS 1.2 minimum (TLS 1.3 preferred); SSL / TLS 1.0/1.1 disabled (NIST SP 800-52 Rev. 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Firmware update process signed; downgrade prevention enforced.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Vulnerability scanning quarterly; SBOM available on request.</w:t>
      </w:r>
    </w:p>
    <w:p>
      <w:pPr>
        <w:pStyle w:val="Heading1"/>
        <w:spacing w:after="150" w:before="300"/>
      </w:pPr>
      <w:r>
        <w:t xml:space="preserve">7. Contract + operational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MSA references VPAT 2.5, PCI DSS v4.0.1, FDA 21 CFR 101.8, FALCPA, applicable state privacy laws.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content + privacy + accessibility review built into QBR.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commits to &lt;24 hour content removal SLA for non-compliant or inappropriate content.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carries cyber liability insurance ≥ $1M; data-breach notification cooperation.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Sunset / decommission procedure: data deleted per retention schedule on contract end.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advice. Verify accessibility, FDA, FTC, and state privacy law applicability with counsel and the facility ADA / wellness coordinator. LetUsVending is equipped to coordinate operators with VPAT-documented touchscreen platforms and content-management SLAs.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Vending Screen Verification Framework</dc:title>
  <dc:creator>LetUsVending</dc:creator>
  <dc:description>Capability checklist + MDM + ADA / Section 508 + nutrition disclosure + privacy</dc:description>
  <cp:lastModifiedBy>Un-named</cp:lastModifiedBy>
  <cp:revision>1</cp:revision>
  <dcterms:created xsi:type="dcterms:W3CDTF">2026-05-17T13:18:05.829Z</dcterms:created>
  <dcterms:modified xsi:type="dcterms:W3CDTF">2026-05-17T13:18:05.830Z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