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Micro-Market Legal Framework Checklist</w:t>
      </w:r>
    </w:p>
    <w:p>
      <w:pPr>
        <w:spacing w:after="200"/>
      </w:pPr>
      <w:r>
        <w:rPr>
          <w:i/>
          <w:iCs/>
          <w:color w:val="6B7280"/>
        </w:rPr>
        <w:t xml:space="preserve">Eight regulatory frameworks, MSA scope, audit cadence, and state addendum</w:t>
      </w:r>
    </w:p>
    <w:p>
      <w:pPr>
        <w:spacing w:after="300"/>
      </w:pPr>
      <w:r>
        <w:t xml:space="preserve">Use this checklist when scoping a micro-market MSA. Each framework below maps to a specific federal regulation, industry standard, or state-level enforcement risk. Have your operator attest to each line in writing before contract signature.</w:t>
      </w:r>
    </w:p>
    <w:p>
      <w:pPr>
        <w:pStyle w:val="Heading1"/>
        <w:spacing w:after="150" w:before="300"/>
      </w:pPr>
      <w:r>
        <w:t xml:space="preserve">Framework 1 — FDA Food Code 2022 (cold-chain + food safety)</w:t>
      </w:r>
    </w:p>
    <w:p>
      <w:pPr>
        <w:spacing w:after="200"/>
      </w:pPr>
      <w:r>
        <w:t xml:space="preserve">FDA Food Code 2022 is adopted by all 50 states with state-specific modifications. It governs grab-and-go fresh-food handling, temperature control, and date-marking.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TCS food held at ≤ 41°F (Section 3-501.16); operator logs temperatures at each restock.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Hot-held TCS food at ≥ 135°F (Section 3-501.16) — applies to hot-food micro-markets.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Date marking on every commissary-prepared item (Section 3-501.17); discard date ≤ 7 days from preparation.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commissary kitchen has a current health-department permit; copy retained in MSA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carries product-liability insurance ≥ $2M per occurrence with foodborne-illness coverage.</w:t>
      </w:r>
    </w:p>
    <w:p>
      <w:pPr>
        <w:pStyle w:val="Heading1"/>
        <w:spacing w:after="150" w:before="300"/>
      </w:pPr>
      <w:r>
        <w:t xml:space="preserve">Framework 2 — PCI-DSS v4.0 (March 2024 effective)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kiosk + back-office attested to PCI-DSS v4.0 SAQ-C-VT (or higher) — obtain attestation date.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Cardholder data is never stored on the kiosk; tokenization handled by 365 Retail Markets / Cantaloupe / Nayax.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PCI ROC or SAQ refresh; operator provides updated attestation to host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Breach notification within 72 hours of operator discovery, per state breach-notification laws (all 50 states + DC).</w:t>
      </w:r>
    </w:p>
    <w:p>
      <w:pPr>
        <w:pStyle w:val="Heading1"/>
        <w:spacing w:after="150" w:before="300"/>
      </w:pPr>
      <w:r>
        <w:t xml:space="preserve">Framework 3 — ADA Title III + 2010 ADA Standards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reach range ≤ 48 inches per Section 308; clear floor space 30 inch × 48 inch per Section 305.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Kiosk touchscreen has audio-output mode or paired mobile app for blind / low-vision users (WCAG 2.1 AA).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ADA recertification with photographs and measurements.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carries an active VPAT for the kiosk software, revised within the last 12 months.</w:t>
      </w:r>
    </w:p>
    <w:p>
      <w:pPr>
        <w:pStyle w:val="Heading1"/>
        <w:spacing w:after="150" w:before="300"/>
      </w:pPr>
      <w:r>
        <w:t xml:space="preserve">Framework 4 — State sales tax + prepared-food tax</w:t>
      </w:r>
    </w:p>
    <w:p>
      <w:pPr>
        <w:spacing w:after="200"/>
      </w:pPr>
      <w:r>
        <w:t xml:space="preserve">Sales tax treatment of micro-market food varies by state. Some states tax prepared food at a higher rate than grocery; others exempt vending-style sales entirely. Operator should remit tax and provide a quarterly report to the host.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registered for sales tax in your state and any local jurisdictions (city, county).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Prepared-food vs grocery-rate distinction handled by the kiosk SKU mapping.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tax-remittance report from operator to host, separately stating tax collected.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indemnity in MSA — operator indemnifies host for any tax assessment arising from operator's collection error.</w:t>
      </w:r>
    </w:p>
    <w:p>
      <w:pPr>
        <w:pStyle w:val="Heading1"/>
        <w:spacing w:after="150" w:before="300"/>
      </w:pPr>
      <w:r>
        <w:t xml:space="preserve">Framework 5 — Worker classification + on-site labor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restock + service technicians are W-2 employees (not 1099) if they work exclusively on operator's route — reduces joint-employer risk under FLSA.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host requires badged on-site access, operator provides a list of cleared personnel with background-check attestation.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E-Verify status confirmed where required by state law (AZ, AL, GA, MS, NC, SC, TN, UT, etc.).</w:t>
      </w:r>
    </w:p>
    <w:p>
      <w:pPr>
        <w:pStyle w:val="Heading1"/>
        <w:spacing w:after="150" w:before="300"/>
      </w:pPr>
      <w:r>
        <w:t xml:space="preserve">Framework 6 — Insurance + COI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General liability ≥ $1M per occurrence / $2M aggregate.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liability ≥ $2M per occurrence with foodborne-illness coverage explicit.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Auto liability ≥ $1M combined single limit (delivery vehicles).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Workers compensation per state statutory requirement.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Cyber liability ≥ $1M (PCI-DSS breach response, notification, credit monitoring).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named as additional insured + certificate-holder; 30-day notice of cancellation.</w:t>
      </w:r>
    </w:p>
    <w:p>
      <w:pPr>
        <w:pStyle w:val="Heading1"/>
        <w:spacing w:after="150" w:before="300"/>
      </w:pPr>
      <w:r>
        <w:t xml:space="preserve">Framework 7 — Data privacy (CCPA / CPRA / state equivalents)</w:t>
      </w:r>
    </w:p>
    <w:p>
      <w:pPr>
        <w:spacing w:after="200"/>
      </w:pPr>
      <w:r>
        <w:t xml:space="preserve">Micro-market loyalty apps collect personal information subject to state privacy laws. California (CCPA/CPRA), Virginia (VCDPA), Colorado (CPA), Connecticut (CTDPA), and other states impose disclosure + opt-out obligations.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Operator's loyalty / app privacy notice complies with applicable state privacy law.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Opt-out / delete request flow operational; operator response SLA documented in MSA.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sharing of host-employee data with third parties except as required for transaction processing.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 Processing Addendum (DPA) signed where the host has CCPA/CPRA / GDPR obligations.</w:t>
      </w:r>
    </w:p>
    <w:p>
      <w:pPr>
        <w:pStyle w:val="Heading1"/>
        <w:spacing w:after="150" w:before="300"/>
      </w:pPr>
      <w:r>
        <w:t xml:space="preserve">Framework 8 — Smart Snacks / wellness compliance (where applicable)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on K-12 property — Smart Snacks in School compliance per USDA 7 CFR 210.11.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If host has a corporate wellness program — operator commits to SKU-mix targets (e.g., 30% better-for-you per FITS or NAMA FitPick guidance).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on every SKU per FALCPA; allergen summary on the kiosk.</w:t>
      </w:r>
    </w:p>
    <w:p>
      <w:pPr>
        <w:pStyle w:val="Heading1"/>
        <w:spacing w:after="150" w:before="300"/>
      </w:pPr>
      <w:r>
        <w:t xml:space="preserve">MSA scope checklist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 + termination — 1-3 year initial; 30-90 day notice without cause.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Exclusivity scope (food/beverage service only; not pantry, catering, or events).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structure + cap on price increases.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SLA tiers with credits for missed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rights — host can audit operator records on 30 days notice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Indemnification — operator indemnifies for foodborne illness, PCI breach, ADA non-conformance, tax error.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attached as Exhibit; COI re-issued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State-specific addendum (sales tax, breach notification, privacy law) attached as Exhibit.</w:t>
      </w:r>
    </w:p>
    <w:p>
      <w:pPr>
        <w:pStyle w:val="Heading1"/>
        <w:spacing w:after="150" w:before="300"/>
      </w:pPr>
      <w:r>
        <w:t xml:space="preserve">Annual audit cadence</w:t>
      </w:r>
    </w:p>
    <w:p>
      <w:pPr>
        <w:spacing w:after="120"/>
      </w:pPr>
      <w:r>
        <w:rPr>
          <w:b/>
          <w:bCs/>
          <w:color w:val="111827"/>
        </w:rPr>
        <w:t xml:space="preserve">Q1: </w:t>
      </w:r>
      <w:r>
        <w:t xml:space="preserve">PCI-DSS attestation refresh; insurance COI refresh.</w:t>
      </w:r>
    </w:p>
    <w:p>
      <w:pPr>
        <w:spacing w:after="120"/>
      </w:pPr>
      <w:r>
        <w:rPr>
          <w:b/>
          <w:bCs/>
          <w:color w:val="111827"/>
        </w:rPr>
        <w:t xml:space="preserve">Q2: </w:t>
      </w:r>
      <w:r>
        <w:t xml:space="preserve">ADA recertification site visit; cold-chain log review.</w:t>
      </w:r>
    </w:p>
    <w:p>
      <w:pPr>
        <w:spacing w:after="120"/>
      </w:pPr>
      <w:r>
        <w:rPr>
          <w:b/>
          <w:bCs/>
          <w:color w:val="111827"/>
        </w:rPr>
        <w:t xml:space="preserve">Q3: </w:t>
      </w:r>
      <w:r>
        <w:t xml:space="preserve">Sales-tax remittance audit; commission reconciliation.</w:t>
      </w:r>
    </w:p>
    <w:p>
      <w:pPr>
        <w:spacing w:after="120"/>
      </w:pPr>
      <w:r>
        <w:rPr>
          <w:b/>
          <w:bCs/>
          <w:color w:val="111827"/>
        </w:rPr>
        <w:t xml:space="preserve">Q4: </w:t>
      </w:r>
      <w:r>
        <w:t xml:space="preserve">QBR-driven planogram refresh; renewal posture review.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Consult counsel licensed in your jurisdiction; state-specific addenda should be drafted by counsel familiar with state sales-tax, food-code, and privacy law.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Micro-Market Legal Framework Checklist</dc:title>
  <dc:creator>LetUsVending</dc:creator>
  <dc:description>Eight regulatory frameworks, MSA scope, audit cadence, and state addendum</dc:description>
  <cp:lastModifiedBy>Un-named</cp:lastModifiedBy>
  <cp:revision>1</cp:revision>
  <dcterms:created xsi:type="dcterms:W3CDTF">2026-05-17T13:18:06.011Z</dcterms:created>
  <dcterms:modified xsi:type="dcterms:W3CDTF">2026-05-17T13:18:06.012Z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