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Luxury Entertainment-Venue Vending RFP Template</w:t>
      </w:r>
    </w:p>
    <w:p>
      <w:pPr>
        <w:spacing w:after="200"/>
      </w:pPr>
      <w:r>
        <w:rPr>
          <w:i/>
          <w:iCs/>
          <w:color w:val="6B7280"/>
        </w:rPr>
        <w:t xml:space="preserve">Premium SKU catalog, operator capability matrix, insurance requirements, and SLA framework</w:t>
      </w:r>
    </w:p>
    <w:p>
      <w:pPr>
        <w:spacing w:after="300"/>
      </w:pPr>
      <w:r>
        <w:t xml:space="preserve">Use this RFP template to solicit luxury-grade vending bids for entertainment venues serving high-spend audiences (premium box, club lounge, ultra-VIP). It defines the premium SKU mix, the operator capabilities required to merchandise it, and the insurance posture appropriate to high-value inventory and venue brand exposure.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Venue tier: </w:t>
      </w:r>
      <w:r>
        <w:t xml:space="preserve">(luxury suite / premium club / ultra-VIP — specify per-cap spend benchmark)</w:t>
      </w:r>
    </w:p>
    <w:p>
      <w:pPr>
        <w:spacing w:after="120"/>
      </w:pPr>
      <w:r>
        <w:rPr>
          <w:b/>
          <w:bCs/>
          <w:color w:val="111827"/>
        </w:rPr>
        <w:t xml:space="preserve">Machine placements: </w:t>
      </w:r>
      <w:r>
        <w:t xml:space="preserve">Specify zones: suite hallway, lounge, member-only floor, BOH staging. Capability framing only — describe placement environment without naming anchor venues.</w:t>
      </w:r>
    </w:p>
    <w:p>
      <w:pPr>
        <w:spacing w:after="120"/>
      </w:pPr>
      <w:r>
        <w:rPr>
          <w:b/>
          <w:bCs/>
          <w:color w:val="111827"/>
        </w:rPr>
        <w:t xml:space="preserve">Estimated avg ticket: </w:t>
      </w:r>
      <w:r>
        <w:t xml:space="preserve">$15-$45 (luxury) vs. $4-$8 (general admission). Operator must demonstrate SKU mix can support this range.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3-5 year initial term with annual luxury-SKU refresh.</w:t>
      </w:r>
    </w:p>
    <w:p>
      <w:pPr>
        <w:pStyle w:val="Heading1"/>
        <w:spacing w:after="150" w:before="300"/>
      </w:pPr>
      <w:r>
        <w:t xml:space="preserve">2. Premium SKU catalog requirements</w:t>
      </w:r>
    </w:p>
    <w:p>
      <w:pPr>
        <w:spacing w:after="200"/>
      </w:pPr>
      <w:r>
        <w:t xml:space="preserve">Operator must source and merchandise across the following premium categories. SKU count guidance assumes a 30-45 selection machine; adjust for your equipment.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SKU count 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Sample anchor items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Per-unit price band</w:t>
            </w:r>
          </w:p>
        </w:tc>
      </w:tr>
      <w:tr>
        <w:tc>
          <w:p>
            <w:r>
              <w:t xml:space="preserve">Premium beverages — still + sparkling</w:t>
            </w:r>
          </w:p>
        </w:tc>
        <w:tc>
          <w:p>
            <w:r>
              <w:t xml:space="preserve">6-8</w:t>
            </w:r>
          </w:p>
        </w:tc>
        <w:tc>
          <w:p>
            <w:r>
              <w:t xml:space="preserve">Saratoga, Acqua Panna, San Pellegrino, Topo Chico</w:t>
            </w:r>
          </w:p>
        </w:tc>
        <w:tc>
          <w:p>
            <w:r>
              <w:t xml:space="preserve">$5-$9</w:t>
            </w:r>
          </w:p>
        </w:tc>
      </w:tr>
      <w:tr>
        <w:tc>
          <w:p>
            <w:r>
              <w:t xml:space="preserve">Craft + functional beverages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Cold-brew nitro, kombucha, functional adaptogens</w:t>
            </w:r>
          </w:p>
        </w:tc>
        <w:tc>
          <w:p>
            <w:r>
              <w:t xml:space="preserve">$6-$12</w:t>
            </w:r>
          </w:p>
        </w:tc>
      </w:tr>
      <w:tr>
        <w:tc>
          <w:p>
            <w:r>
              <w:t xml:space="preserve">Premium snack — savory</w:t>
            </w:r>
          </w:p>
        </w:tc>
        <w:tc>
          <w:p>
            <w:r>
              <w:t xml:space="preserve">5-7</w:t>
            </w:r>
          </w:p>
        </w:tc>
        <w:tc>
          <w:p>
            <w:r>
              <w:t xml:space="preserve">Truffle popcorn, single-origin charcuterie packs</w:t>
            </w:r>
          </w:p>
        </w:tc>
        <w:tc>
          <w:p>
            <w:r>
              <w:t xml:space="preserve">$8-$18</w:t>
            </w:r>
          </w:p>
        </w:tc>
      </w:tr>
      <w:tr>
        <w:tc>
          <w:p>
            <w:r>
              <w:t xml:space="preserve">Premium snack — sweet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Single-origin chocolate (Valrhona / Amedei), artisan cookies</w:t>
            </w:r>
          </w:p>
        </w:tc>
        <w:tc>
          <w:p>
            <w:r>
              <w:t xml:space="preserve">$6-$14</w:t>
            </w:r>
          </w:p>
        </w:tc>
      </w:tr>
      <w:tr>
        <w:tc>
          <w:p>
            <w:r>
              <w:t xml:space="preserve">Health + dietary specialty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Allergen-free protein, keto / paleo bars, plant-based jerky</w:t>
            </w:r>
          </w:p>
        </w:tc>
        <w:tc>
          <w:p>
            <w:r>
              <w:t xml:space="preserve">$5-$10</w:t>
            </w:r>
          </w:p>
        </w:tc>
      </w:tr>
      <w:tr>
        <w:tc>
          <w:p>
            <w:r>
              <w:t xml:space="preserve">Gift + impulse premium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Branded merchandise, premium gum/mints, travel kits</w:t>
            </w:r>
          </w:p>
        </w:tc>
        <w:tc>
          <w:p>
            <w:r>
              <w:t xml:space="preserve">$8-$25</w:t>
            </w:r>
          </w:p>
        </w:tc>
      </w:tr>
      <w:tr>
        <w:tc>
          <w:p>
            <w:r>
              <w:t xml:space="preserve">Cold-chain prepared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Sushi (refrigerated), bento, premium salads — operator must demonstrate cold-chain protocol</w:t>
            </w:r>
          </w:p>
        </w:tc>
        <w:tc>
          <w:p>
            <w:r>
              <w:t xml:space="preserve">$12-$28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Operator capability matrix (scoring)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Evidence required</w:t>
            </w:r>
          </w:p>
        </w:tc>
      </w:tr>
      <w:tr>
        <w:tc>
          <w:p>
            <w:r>
              <w:t xml:space="preserve">Premium SKU sourcing relationships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Vendor list with broker / distributor relationships for premium categories above</w:t>
            </w:r>
          </w:p>
        </w:tc>
      </w:tr>
      <w:tr>
        <w:tc>
          <w:p>
            <w:r>
              <w:t xml:space="preserve">Cold-chain handling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HACCP plan, temperature-monitoring telemetry (sub-15-min heartbeat), TCS food protocol per FDA Food Code 2022 §3-501</w:t>
            </w:r>
          </w:p>
        </w:tc>
      </w:tr>
      <w:tr>
        <w:tc>
          <w:p>
            <w:r>
              <w:t xml:space="preserve">Cashless + premium payment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Apple Pay / Google Pay / NFC, support for venue member-charge integration, optional concierge invoice</w:t>
            </w:r>
          </w:p>
        </w:tc>
      </w:tr>
      <w:tr>
        <w:tc>
          <w:p>
            <w:r>
              <w:t xml:space="preserve">Discretion + staff conduct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Staffing standards: background check, NDA, dress code, VIP-floor access protocol</w:t>
            </w:r>
          </w:p>
        </w:tc>
      </w:tr>
      <w:tr>
        <w:tc>
          <w:p>
            <w:r>
              <w:t xml:space="preserve">Loss prevention + insurance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Stated shrink rate, replacement timeline for damage / theft, $5M umbrella minimum</w:t>
            </w:r>
          </w:p>
        </w:tc>
      </w:tr>
      <w:tr>
        <w:tc>
          <w:p>
            <w:r>
              <w:t xml:space="preserve">Aesthetic + finish quality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Wood / metal / leather-trim cabinet options; specify ADA-compliant Section 308 reach range maintained</w:t>
            </w:r>
          </w:p>
        </w:tc>
      </w:tr>
      <w:tr>
        <w:tc>
          <w:p>
            <w:r>
              <w:t xml:space="preserve">Refresh + curation cadence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Quarterly SKU rotation; seasonal curation; sample 4-quarter rotation plan</w:t>
            </w:r>
          </w:p>
        </w:tc>
      </w:tr>
      <w:tr>
        <w:tc>
          <w:p>
            <w:r>
              <w:t xml:space="preserve">Reporting + analytics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Monthly velocity by SKU, member-spend analytics (anonymized), QBR cadence per Section 7</w:t>
            </w:r>
          </w:p>
        </w:tc>
      </w:tr>
      <w:tr>
        <w:tc>
          <w:p>
            <w:r>
              <w:t xml:space="preserve">Local + regional sourcing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% of SKUs sourced within 250 miles for freshness and brand authenticity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Insurance + bonding requirements</w:t>
      </w:r>
    </w:p>
    <w:p>
      <w:pPr>
        <w:spacing w:after="120"/>
      </w:pPr>
      <w:r>
        <w:rPr>
          <w:b/>
          <w:bCs/>
          <w:color w:val="111827"/>
        </w:rPr>
        <w:t xml:space="preserve">Commercial general liability: </w:t>
      </w:r>
      <w:r>
        <w:t xml:space="preserve">$5M per occurrence / $10M aggregate (luxury threshold; general venue contracts typically require $2M/$4M).</w:t>
      </w:r>
    </w:p>
    <w:p>
      <w:pPr>
        <w:spacing w:after="120"/>
      </w:pPr>
      <w:r>
        <w:rPr>
          <w:b/>
          <w:bCs/>
          <w:color w:val="111827"/>
        </w:rPr>
        <w:t xml:space="preserve">Product liability: </w:t>
      </w:r>
      <w:r>
        <w:t xml:space="preserve">$5M per occurrence — required given premium prepared / cold-chain SKUs.</w:t>
      </w:r>
    </w:p>
    <w:p>
      <w:pPr>
        <w:spacing w:after="120"/>
      </w:pPr>
      <w:r>
        <w:rPr>
          <w:b/>
          <w:bCs/>
          <w:color w:val="111827"/>
        </w:rPr>
        <w:t xml:space="preserve">Liquor liability: </w:t>
      </w:r>
      <w:r>
        <w:t xml:space="preserve">If non-alcoholic premium SKUs include functional botanicals near regulatory line, $1M minimum and operator confirms FDA / state ABC review.</w:t>
      </w:r>
    </w:p>
    <w:p>
      <w:pPr>
        <w:spacing w:after="120"/>
      </w:pPr>
      <w:r>
        <w:rPr>
          <w:b/>
          <w:bCs/>
          <w:color w:val="111827"/>
        </w:rPr>
        <w:t xml:space="preserve">Crime + fidelity bond: </w:t>
      </w:r>
      <w:r>
        <w:t xml:space="preserve">$500K minimum for cash handling and inventory shrink.</w:t>
      </w:r>
    </w:p>
    <w:p>
      <w:pPr>
        <w:spacing w:after="120"/>
      </w:pPr>
      <w:r>
        <w:rPr>
          <w:b/>
          <w:bCs/>
          <w:color w:val="111827"/>
        </w:rPr>
        <w:t xml:space="preserve">Cyber liability: </w:t>
      </w:r>
      <w:r>
        <w:t xml:space="preserve">$2M minimum for cashless payment / member-data integration.</w:t>
      </w:r>
    </w:p>
    <w:p>
      <w:pPr>
        <w:spacing w:after="120"/>
      </w:pPr>
      <w:r>
        <w:rPr>
          <w:b/>
          <w:bCs/>
          <w:color w:val="111827"/>
        </w:rPr>
        <w:t xml:space="preserve">Workers compensation: </w:t>
      </w:r>
      <w:r>
        <w:t xml:space="preserve">Statutory minimums + $1M employers liability.</w:t>
      </w:r>
    </w:p>
    <w:p>
      <w:pPr>
        <w:spacing w:after="120"/>
      </w:pPr>
      <w:r>
        <w:rPr>
          <w:b/>
          <w:bCs/>
          <w:color w:val="111827"/>
        </w:rPr>
        <w:t xml:space="preserve">Auto liability: </w:t>
      </w:r>
      <w:r>
        <w:t xml:space="preserve">$1M combined single limit on all delivery vehicles.</w:t>
      </w:r>
    </w:p>
    <w:p>
      <w:pPr>
        <w:spacing w:after="120"/>
      </w:pPr>
      <w:r>
        <w:rPr>
          <w:b/>
          <w:bCs/>
          <w:color w:val="111827"/>
        </w:rPr>
        <w:t xml:space="preserve">Additional insured: </w:t>
      </w:r>
      <w:r>
        <w:t xml:space="preserve">Venue, venue management company, and any premium-tier sponsor named as additional insured on GL and product liability policies.</w:t>
      </w:r>
    </w:p>
    <w:p>
      <w:pPr>
        <w:pStyle w:val="Heading1"/>
        <w:spacing w:after="150" w:before="300"/>
      </w:pPr>
      <w:r>
        <w:t xml:space="preserve">5. SLA framework</w:t>
      </w:r>
    </w:p>
    <w:p>
      <w:pPr>
        <w:spacing w:after="60" w:before="120"/>
      </w:pPr>
      <w:r>
        <w:rPr>
          <w:b/>
          <w:bCs/>
        </w:rPr>
        <w:t xml:space="preserve">1. Uptime SLA</w:t>
      </w:r>
    </w:p>
    <w:p>
      <w:pPr>
        <w:spacing w:after="120"/>
      </w:pPr>
      <w:r>
        <w:t xml:space="preserve">99.5% machine uptime measured by telemetry (industry typical for general vending is 95-97%; luxury tier requires 99.5%).</w:t>
      </w:r>
    </w:p>
    <w:p>
      <w:pPr>
        <w:spacing w:after="60" w:before="120"/>
      </w:pPr>
      <w:r>
        <w:rPr>
          <w:b/>
          <w:bCs/>
        </w:rPr>
        <w:t xml:space="preserve">2. Stockout SLA</w:t>
      </w:r>
    </w:p>
    <w:p>
      <w:pPr>
        <w:spacing w:after="120"/>
      </w:pPr>
      <w:r>
        <w:t xml:space="preserve">Per-SKU stockout &gt; 6 hours during event hours = 5% credit on that SKU line for the month. Operator restocks pre-event with telemetry-driven mid-event top-off.</w:t>
      </w:r>
    </w:p>
    <w:p>
      <w:pPr>
        <w:spacing w:after="60" w:before="120"/>
      </w:pPr>
      <w:r>
        <w:rPr>
          <w:b/>
          <w:bCs/>
        </w:rPr>
        <w:t xml:space="preserve">3. Cold-chain SLA</w:t>
      </w:r>
    </w:p>
    <w:p>
      <w:pPr>
        <w:spacing w:after="120"/>
      </w:pPr>
      <w:r>
        <w:t xml:space="preserve">Temperature excursion outside 35-40°F triggers immediate alert with 2-hour on-site response (4-hour SLA for general vending). All TCS product within excursion window discarded and replaced at operator cost.</w:t>
      </w:r>
    </w:p>
    <w:p>
      <w:pPr>
        <w:spacing w:after="60" w:before="120"/>
      </w:pPr>
      <w:r>
        <w:rPr>
          <w:b/>
          <w:bCs/>
        </w:rPr>
        <w:t xml:space="preserve">4. Refund SLA</w:t>
      </w:r>
    </w:p>
    <w:p>
      <w:pPr>
        <w:spacing w:after="120"/>
      </w:pPr>
      <w:r>
        <w:t xml:space="preserve">Member-initiated refund auto-credited within 4 hours (vs. 24 hours general). Operator provides concierge phone line for in-event refund.</w:t>
      </w:r>
    </w:p>
    <w:p>
      <w:pPr>
        <w:spacing w:after="60" w:before="120"/>
      </w:pPr>
      <w:r>
        <w:rPr>
          <w:b/>
          <w:bCs/>
        </w:rPr>
        <w:t xml:space="preserve">5. Cleaning + presentation SLA</w:t>
      </w:r>
    </w:p>
    <w:p>
      <w:pPr>
        <w:spacing w:after="120"/>
      </w:pPr>
      <w:r>
        <w:t xml:space="preserve">Cabinet cleaned per visit; glass / wood / leather wiped to luxury-finish standard; photo log uploaded to operator portal.</w:t>
      </w:r>
    </w:p>
    <w:p>
      <w:pPr>
        <w:pStyle w:val="Heading1"/>
        <w:spacing w:after="150" w:before="300"/>
      </w:pPr>
      <w:r>
        <w:t xml:space="preserve">6. Required attachments (operator response)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Portfolio: 3+ comparable luxury / premium placements (capability framing acceptable — describe environment scale, not anchor names).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premium SKU catalog with vendor list and per-unit cost.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HACCP plan and FDA Food Code 2022 §3-501 attestation for TCS handling.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certificates per Section 4 listing venue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velocity + member-spend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business review template.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luxury venue or hospitality contacts (last 24 months).</w:t>
      </w:r>
    </w:p>
    <w:p>
      <w:pPr>
        <w:pStyle w:val="Heading1"/>
        <w:spacing w:after="150" w:before="300"/>
      </w:pPr>
      <w:r>
        <w:t xml:space="preserve">7. Reporting + governance</w:t>
      </w:r>
    </w:p>
    <w:p>
      <w:pPr>
        <w:spacing w:after="120"/>
      </w:pPr>
      <w:r>
        <w:rPr>
          <w:b/>
          <w:bCs/>
          <w:color w:val="111827"/>
        </w:rPr>
        <w:t xml:space="preserve">Monthly: </w:t>
      </w:r>
      <w:r>
        <w:t xml:space="preserve">Velocity by SKU + category, uptime, stockout incidents, refund volume + reason codes, member-spend pattern (anonymized).</w:t>
      </w:r>
    </w:p>
    <w:p>
      <w:pPr>
        <w:spacing w:after="120"/>
      </w:pPr>
      <w:r>
        <w:rPr>
          <w:b/>
          <w:bCs/>
          <w:color w:val="111827"/>
        </w:rPr>
        <w:t xml:space="preserve">Quarterly: </w:t>
      </w:r>
      <w:r>
        <w:t xml:space="preserve">Quarterly business review with venue F&amp;B director, premium-tier marketing lead, and procurement. SKU rotation recommendation, sponsor activation review, capital-plan review (machine refresh, finish refresh).</w:t>
      </w:r>
    </w:p>
    <w:p>
      <w:pPr>
        <w:spacing w:after="120"/>
      </w:pPr>
      <w:r>
        <w:rPr>
          <w:b/>
          <w:bCs/>
          <w:color w:val="111827"/>
        </w:rPr>
        <w:t xml:space="preserve">Annually: </w:t>
      </w:r>
      <w:r>
        <w:t xml:space="preserve">Annual SLA scorecard; renewal / re-bid decision based on weighted scorecard plus QBR action-item completion.</w:t>
      </w:r>
    </w:p>
    <w:p>
      <w:pPr>
        <w:pStyle w:val="Heading1"/>
        <w:spacing w:after="150" w:before="300"/>
      </w:pPr>
      <w:r>
        <w:t xml:space="preserve">8.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portal; supporting materials in single ZIP.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30-45 days from RFP issue for luxury complexity)</w:t>
      </w:r>
    </w:p>
    <w:p>
      <w:pPr>
        <w:spacing w:after="120"/>
      </w:pPr>
      <w:r>
        <w:rPr>
          <w:b/>
          <w:bCs/>
          <w:color w:val="111827"/>
        </w:rPr>
        <w:t xml:space="preserve">Pre-bid site walk: </w:t>
      </w:r>
      <w:r>
        <w:t xml:space="preserve">Mandatory site walk with venue ops and F&amp;B director; capability framing — operators view environment, do not represent anchor placements.</w:t>
      </w:r>
    </w:p>
    <w:p>
      <w:pPr>
        <w:spacing w:after="120"/>
      </w:pPr>
      <w:r>
        <w:rPr>
          <w:b/>
          <w:bCs/>
          <w:color w:val="111827"/>
        </w:rPr>
        <w:t xml:space="preserve">Q&amp;A window: </w:t>
      </w:r>
      <w:r>
        <w:t xml:space="preserve">15 business days; all Q&amp;A distributed in writing.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only — engage procurement and risk counsel before issue. Insurance limits should be confirmed against the venue's overall risk-transfer matrix.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Luxury Entertainment-Venue Vending RFP Template</dc:title>
  <dc:creator>LetUsVending</dc:creator>
  <dc:description>Premium SKU catalog, operator capability matrix, insurance requirements, and SLA framework</dc:description>
  <cp:lastModifiedBy>Un-named</cp:lastModifiedBy>
  <cp:revision>1</cp:revision>
  <dcterms:created xsi:type="dcterms:W3CDTF">2026-05-17T13:18:06.205Z</dcterms:created>
  <dcterms:modified xsi:type="dcterms:W3CDTF">2026-05-17T13:18:06.206Z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