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12-Phase Micro-Market Installation Checklist</w:t>
      </w:r>
    </w:p>
    <w:p>
      <w:pPr>
        <w:spacing w:after="200"/>
      </w:pPr>
      <w:r>
        <w:rPr>
          <w:i/>
          <w:iCs/>
          <w:color w:val="6B7280"/>
        </w:rPr>
        <w:t xml:space="preserve">Site survey, electrical, data, cold-chain, PCI-DSS, HR badge, and soft launch</w:t>
      </w:r>
    </w:p>
    <w:p>
      <w:pPr>
        <w:spacing w:after="300"/>
      </w:pPr>
      <w:r>
        <w:t xml:space="preserve">Use this checklist to install a 50-200 employee corporate micro-market with zero post-launch surprises. Each phase maps to a contractually attestable deliverable; standards cited reference NEC 2023, FDA Food Code 2022, PCI-DSS v4.0, and ADA 2010 Standards Section 305-309.</w:t>
      </w:r>
    </w:p>
    <w:p>
      <w:pPr>
        <w:pStyle w:val="Heading1"/>
        <w:spacing w:after="150" w:before="300"/>
      </w:pPr>
      <w:r>
        <w:t xml:space="preserve">Phase 1 — Site survey (T-60 days)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Measured kiosk footprint (typically 24 inch × 24 inch base + 18 inch clearance behind for cabling).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Measured fixture floor plan (coolers 30 inch × 72 inch, ambient racks per planogram).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ADA 305 clear floor space 30 inch × 48 inch verified at every operable part (kiosk + each cooler door).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Photo documentation: 4 corners of the room + overhead + utility-stub locations.</w:t>
      </w:r>
    </w:p>
    <w:p>
      <w:pPr>
        <w:pStyle w:val="Heading1"/>
        <w:spacing w:after="150" w:before="300"/>
      </w:pPr>
      <w:r>
        <w:t xml:space="preserve">Phase 2 — Electrical scope (T-55 days)</w:t>
      </w:r>
    </w:p>
    <w:p>
      <w:pPr>
        <w:spacing w:after="200"/>
      </w:pPr>
      <w:r>
        <w:t xml:space="preserve">Electrical capacity is the most common cause of install delays. NEC 2023 Articles 422 + 440 govern appliance and refrigeration branch circuits.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Coolers — dedicated 120V/20A circuit per cooler; NEMA 5-20R receptacle within 6 feet.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Hot-food unit (if applicable) — dedicated 120V/20A or 240V/30A per OEM spec.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Kiosk — dedicated 120V/15A circuit on UPS battery backup.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Lighting (overhead + cooler) on facility circuit; not shared with vending loads.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Licensed electrician performs install; permits pulled per local AHJ; load calculation documented.</w:t>
      </w:r>
    </w:p>
    <w:p>
      <w:pPr>
        <w:pStyle w:val="Heading1"/>
        <w:spacing w:after="150" w:before="300"/>
      </w:pPr>
      <w:r>
        <w:t xml:space="preserve">Phase 3 — Data scope (T-50 days)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Hardwired ethernet drop at kiosk (preferred over cellular for PCI scope reduction).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If cellular — signal strength ≥ -85 dBm on operator's carrier verified at install location.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Backup connectivity — failover from primary ethernet to cellular within 60 seconds (or vice versa).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Network segmentation — kiosk on a separate VLAN from host corporate network; firewall rules documented.</w:t>
      </w:r>
    </w:p>
    <w:p>
      <w:pPr>
        <w:pStyle w:val="Heading1"/>
        <w:spacing w:after="150" w:before="300"/>
      </w:pPr>
      <w:r>
        <w:t xml:space="preserve">Phase 4 — Cold-chain commissioning (T-45 days)</w:t>
      </w:r>
    </w:p>
    <w:p>
      <w:pPr>
        <w:spacing w:after="200"/>
      </w:pPr>
      <w:r>
        <w:t xml:space="preserve">FDA Food Code 2022 §3-501.16 requires TCS foods at ≤ 41°F. Commission each cooler with a 72-hour temperature log before stocking.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Each refrigerated unit run empty for 24 hours; verified to hold ≤ 38°F throughout cycle.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Door-open temperature recovery ≤ 5°F rise; recovery time ≤ 10 minutes.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Temperature-excursion alerting configured: alert at &gt; 41°F sustained &gt; 30 minutes.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Cold-chain alerts route to operator + host facility manager.</w:t>
      </w:r>
    </w:p>
    <w:p>
      <w:pPr>
        <w:pStyle w:val="Heading1"/>
        <w:spacing w:after="150" w:before="300"/>
      </w:pPr>
      <w:r>
        <w:t xml:space="preserve">Phase 5 — PCI-DSS scope confirmation (T-40 days)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provides current PCI-DSS v4.0 attestation (SAQ-C-VT or ROC).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Card reader is current-generation EMV + contactless + mobile-wallet capable.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Tokenization confirmed — no PAN data persists on kiosk after transaction.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Encryption confirmed — TLS 1.2+ for all kiosk-to-gateway traffic.</w:t>
      </w:r>
    </w:p>
    <w:p>
      <w:pPr>
        <w:pStyle w:val="Heading1"/>
        <w:spacing w:after="150" w:before="300"/>
      </w:pPr>
      <w:r>
        <w:t xml:space="preserve">Phase 6 — ADA + accessibility validation (T-35 days)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Kiosk reach range 15-48 inches per Section 308.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Kiosk touchscreen has audio-output mode or paired mobile app accessibility.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Tactile braille pricing labels where required.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Site walk with host accessibility coordinator; written sign-off.</w:t>
      </w:r>
    </w:p>
    <w:p>
      <w:pPr>
        <w:pStyle w:val="Heading1"/>
        <w:spacing w:after="150" w:before="300"/>
      </w:pPr>
      <w:r>
        <w:t xml:space="preserve">Phase 7 — Equipment delivery + placement (T-21 days)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Delivery dock scheduled with host receiving / loading dock.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Pathway clearance verified (doorways ≥ 36 inch wide, ≥ 80 inch tall).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Equipment placed, leveled, and connected to power + data.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Internal lighting + signage installed.</w:t>
      </w:r>
    </w:p>
    <w:p>
      <w:pPr>
        <w:pStyle w:val="Heading1"/>
        <w:spacing w:after="150" w:before="300"/>
      </w:pPr>
      <w:r>
        <w:t xml:space="preserve">Phase 8 — Software + planogram configuration (T-14 days)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SKU catalog uploaded to kiosk; pricing + tax rules configured.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Wellness SKUs flagged per host policy (FitPick / NAMA / corporate program).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Allergen labels per FALCPA configured for every SKU.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Loyalty / payroll-deduction integration tested (if applicable).</w:t>
      </w:r>
    </w:p>
    <w:p>
      <w:pPr>
        <w:pStyle w:val="Heading1"/>
        <w:spacing w:after="150" w:before="300"/>
      </w:pPr>
      <w:r>
        <w:t xml:space="preserve">Phase 9 — HR badge + employee enrollment (T-10 days)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Host HR provides employee roster with badge IDs for payroll-deduction sync (if applicable).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Privacy notice + opt-in/opt-out flow tested per CCPA/CPRA + state equivalents.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Employee onboarding communications drafted with host comms.</w:t>
      </w:r>
    </w:p>
    <w:p>
      <w:pPr>
        <w:pStyle w:val="Heading1"/>
        <w:spacing w:after="150" w:before="300"/>
      </w:pPr>
      <w:r>
        <w:t xml:space="preserve">Phase 10 — Initial stocking + cold-chain validation (T-3 days)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Initial planogram stocked; cold-chain log started at each cooler door.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Refund procedure tested with operator + 2 host volunteers.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Service-ticket creation tested end-to-end.</w:t>
      </w:r>
    </w:p>
    <w:p>
      <w:pPr>
        <w:pStyle w:val="Heading1"/>
        <w:spacing w:after="150" w:before="300"/>
      </w:pPr>
      <w:r>
        <w:t xml:space="preserve">Phase 11 — Soft launch (T-0 to T+7)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Communications go out to employees: location, hours, payment methods, refund.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Daily site visit by operator for first 7 days; per-SKU velocity captured.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Stockout incidents logged; planogram tuned daily.</w:t>
      </w:r>
    </w:p>
    <w:p>
      <w:pPr>
        <w:pStyle w:val="Heading1"/>
        <w:spacing w:after="150" w:before="300"/>
      </w:pPr>
      <w:r>
        <w:t xml:space="preserve">Phase 12 — 45-day review + planogram refresh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delivers per-SKU velocity report and refund-rate report.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Planogram refresh: drop bottom-quartile SKUs; expand top-quartile facings.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Wellness SKU mix reviewed against host policy target.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Action items + owner + due date documented; QBR cadence confirmed (quarterly).</w:t>
      </w:r>
    </w:p>
    <w:p>
      <w:pPr>
        <w:spacing w:before="400"/>
      </w:pPr>
      <w:r>
        <w:rPr>
          <w:i/>
          <w:iCs/>
          <w:color w:val="6B7280"/>
        </w:rPr>
        <w:t xml:space="preserve">This checklist is operational guidance; consult licensed electrical + plumbing + permit professionals for code compliance in your jurisdiction.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12-Phase Micro-Market Installation Checklist</dc:title>
  <dc:creator>LetUsVending</dc:creator>
  <dc:description>Site survey, electrical, data, cold-chain, PCI-DSS, HR badge, and soft launch</dc:description>
  <cp:lastModifiedBy>Un-named</cp:lastModifiedBy>
  <cp:revision>1</cp:revision>
  <dcterms:created xsi:type="dcterms:W3CDTF">2026-05-17T13:18:06.563Z</dcterms:created>
  <dcterms:modified xsi:type="dcterms:W3CDTF">2026-05-17T13:18:06.564Z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