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K-12 Micro-Market Evaluation Framework</w:t>
      </w:r>
    </w:p>
    <w:p>
      <w:pPr>
        <w:spacing w:after="200"/>
      </w:pPr>
      <w:r>
        <w:rPr>
          <w:i/>
          <w:iCs/>
          <w:color w:val="6B7280"/>
        </w:rPr>
        <w:t xml:space="preserve">Smart Snacks compliance, capability matrix, RFP scope, and USDA audit support</w:t>
      </w:r>
    </w:p>
    <w:p>
      <w:pPr>
        <w:spacing w:after="300"/>
      </w:pPr>
      <w:r>
        <w:t xml:space="preserve">Use this framework to evaluate operators for a K-12 micro-market on school grounds. All competitive food sales during the school day must comply with USDA 7 CFR 210.11 (Smart Snacks in School). State-level standards (e.g., California SB 1413, Texas Public School Nutrition Policy) may exceed the federal floor.</w:t>
      </w:r>
    </w:p>
    <w:p>
      <w:pPr>
        <w:pStyle w:val="Heading1"/>
        <w:spacing w:after="150" w:before="300"/>
      </w:pPr>
      <w:r>
        <w:t xml:space="preserve">USDA Smart Snacks compliance — non-negotiable</w:t>
      </w:r>
    </w:p>
    <w:p>
      <w:pPr>
        <w:spacing w:after="200"/>
      </w:pPr>
      <w:r>
        <w:t xml:space="preserve">Smart Snacks rules apply to all food + beverage sales on school campuses from midnight before to 30 minutes after the school day. Non-compliance is a federal audit finding under the National School Lunch Program.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commits to 100% Smart Snacks-compliant SKUs on all SKUs available during the school day.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uses USDA Smart Snacks Product Calculator (or Alliance for a Healthier Generation tool) for every SKU.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Snack standards — ≤ 200 calories, ≤ 230 mg sodium, ≤ 35% calories from total fat (with documented exemptions for nuts/seeds), ≤ 10% calories from saturated fat, 0 g trans fat, ≤ 35% sugar by weight.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Beverage standards — water (unflavored or unsweetened); milk (low-fat or fat-free, ≤ 12 oz); 100% juice (≤ 8 oz elementary, ≤ 12 oz middle/high); other beverages per grade-level caps.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SKU-level compliance log retained for 3 years (USDA recordkeeping).</w:t>
      </w:r>
    </w:p>
    <w:p>
      <w:pPr>
        <w:pStyle w:val="Heading1"/>
        <w:spacing w:after="150" w:before="300"/>
      </w:pPr>
      <w:r>
        <w:t xml:space="preserve">Capability matrix — must-haves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p>
            <w:r>
              <w:t xml:space="preserve">Smart Snacks SKU sourcing + verification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Operator maintains a documented compliance log.</w:t>
            </w:r>
          </w:p>
        </w:tc>
      </w:tr>
      <w:tr>
        <w:tc>
          <w:p>
            <w:r>
              <w:t xml:space="preserve">State-specific addendum (e.g., CA SB 1413, TX TDA Public School Nutrition Policy)</w:t>
            </w:r>
          </w:p>
        </w:tc>
        <w:tc>
          <w:p>
            <w:r>
              <w:t xml:space="preserve">Yes (where applicable)</w:t>
            </w:r>
          </w:p>
        </w:tc>
        <w:tc>
          <w:p>
            <w:r>
              <w:t xml:space="preserve">Some states impose stricter caps.</w:t>
            </w:r>
          </w:p>
        </w:tc>
      </w:tr>
      <w:tr>
        <w:tc>
          <w:p>
            <w:r>
              <w:t xml:space="preserve">Cashless-only payment</w:t>
            </w:r>
          </w:p>
        </w:tc>
        <w:tc>
          <w:p>
            <w:r>
              <w:t xml:space="preserve">Preferred</w:t>
            </w:r>
          </w:p>
        </w:tc>
        <w:tc>
          <w:p>
            <w:r>
              <w:t xml:space="preserve">Reduces cash handling on campus; supports student-meal-account integration.</w:t>
            </w:r>
          </w:p>
        </w:tc>
      </w:tr>
      <w:tr>
        <w:tc>
          <w:p>
            <w:r>
              <w:t xml:space="preserve">Student-meal-account integration (PowerSchool, MealViewer, MySchoolBucks, etc.)</w:t>
            </w:r>
          </w:p>
        </w:tc>
        <w:tc>
          <w:p>
            <w:r>
              <w:t xml:space="preserve">Preferred</w:t>
            </w:r>
          </w:p>
        </w:tc>
        <w:tc>
          <w:p>
            <w:r>
              <w:t xml:space="preserve">Allows USDA-eligible students to use Free/Reduced funds where state law permits.</w:t>
            </w:r>
          </w:p>
        </w:tc>
      </w:tr>
      <w:tr>
        <w:tc>
          <w:p>
            <w:r>
              <w:t xml:space="preserve">FDA Food Code 2022 cold-chain attestation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Grab-and-go cold-chain required.</w:t>
            </w:r>
          </w:p>
        </w:tc>
      </w:tr>
      <w:tr>
        <w:tc>
          <w:p>
            <w:r>
              <w:t xml:space="preserve">PCI-DSS v4.0 attestation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Required for any card or mobile-wallet acceptance.</w:t>
            </w:r>
          </w:p>
        </w:tc>
      </w:tr>
      <w:tr>
        <w:tc>
          <w:p>
            <w:r>
              <w:t xml:space="preserve">Allergen labeling per FALCPA + state addendums (e.g., NJ AB-2032)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Particular focus on tree-nut + peanut where state law requires.</w:t>
            </w:r>
          </w:p>
        </w:tc>
      </w:tr>
      <w:tr>
        <w:tc>
          <w:p>
            <w:r>
              <w:t xml:space="preserve">Background-checked on-site personnel per state school-employee statutes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Verify per state DOE requirements.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RFP scope — required attestations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Smart Snacks compliance attestation, signed by operator officer.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SKU-level compliance log delivered monthly to district FNS director.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 audit support — operator participates in USDA / state audit walkthroughs and provides documentation.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 cold-chain attestation per FDA Food Code 2022.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 PCI-DSS v4.0 attestation.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 ADA recertification per 2010 ADA Standards Section 308.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COI with district as additional insured ($2M product liability with foodborne-illness coverage).</w:t>
      </w:r>
    </w:p>
    <w:p>
      <w:pPr>
        <w:pStyle w:val="Heading1"/>
        <w:spacing w:after="150" w:before="300"/>
      </w:pPr>
      <w:r>
        <w:t xml:space="preserve">Site selection criteria — middle + high schools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Captive student population ≥ 400 for a single kiosk to be revenue-viable.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Placement outside the cafeteria service area (Smart Snacks scope) but within bell-schedule reach.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Section 305 clear floor space and 308 reach range for all operable parts.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Adequate adult supervision during open hours (cafeteria staff, hall monitors).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Separable from elementary student traffic if district policy restricts elementary access.</w:t>
      </w:r>
    </w:p>
    <w:p>
      <w:pPr>
        <w:pStyle w:val="Heading1"/>
        <w:spacing w:after="150" w:before="300"/>
      </w:pPr>
      <w:r>
        <w:t xml:space="preserve">Operational SLA — school-calendar aware</w:t>
      </w:r>
    </w:p>
    <w:p>
      <w:pPr>
        <w:spacing w:after="60" w:before="120"/>
      </w:pPr>
      <w:r>
        <w:rPr>
          <w:b/>
          <w:bCs/>
        </w:rPr>
        <w:t xml:space="preserve">1. Restock cadence aligned to bell schedule</w:t>
      </w:r>
    </w:p>
    <w:p>
      <w:pPr>
        <w:spacing w:after="120"/>
      </w:pPr>
      <w:r>
        <w:t xml:space="preserve">Pre-school-day stock typically 6-7 AM; restock during open-period or after dismissal. Restocks during instructional time disrupt learning and are typically prohibited.</w:t>
      </w:r>
    </w:p>
    <w:p>
      <w:pPr>
        <w:spacing w:after="60" w:before="120"/>
      </w:pPr>
      <w:r>
        <w:rPr>
          <w:b/>
          <w:bCs/>
        </w:rPr>
        <w:t xml:space="preserve">2. Summer-break planning</w:t>
      </w:r>
    </w:p>
    <w:p>
      <w:pPr>
        <w:spacing w:after="120"/>
      </w:pPr>
      <w:r>
        <w:t xml:space="preserve">Operator clears perishables 7-10 days before last school day; cold units depowered + cleaned + propped open per district facilities policy.</w:t>
      </w:r>
    </w:p>
    <w:p>
      <w:pPr>
        <w:spacing w:after="60" w:before="120"/>
      </w:pPr>
      <w:r>
        <w:rPr>
          <w:b/>
          <w:bCs/>
        </w:rPr>
        <w:t xml:space="preserve">3. Service SLA — Tier 1 within 24 hours</w:t>
      </w:r>
    </w:p>
    <w:p>
      <w:pPr>
        <w:spacing w:after="120"/>
      </w:pPr>
      <w:r>
        <w:t xml:space="preserve">Refrigeration failure, kiosk down, payment failure — operator on-site within 24 hours. Cold-chain excursion triggers immediate pull of TCS food per FDA Food Code.</w:t>
      </w:r>
    </w:p>
    <w:p>
      <w:pPr>
        <w:spacing w:after="60" w:before="120"/>
      </w:pPr>
      <w:r>
        <w:rPr>
          <w:b/>
          <w:bCs/>
        </w:rPr>
        <w:t xml:space="preserve">4. FNS reporting</w:t>
      </w:r>
    </w:p>
    <w:p>
      <w:pPr>
        <w:spacing w:after="120"/>
      </w:pPr>
      <w:r>
        <w:t xml:space="preserve">Monthly per-SKU sales + compliance log to district Food Service Director by the 5th of the following month.</w:t>
      </w:r>
    </w:p>
    <w:p>
      <w:pPr>
        <w:pStyle w:val="Heading1"/>
        <w:spacing w:after="150" w:before="300"/>
      </w:pPr>
      <w:r>
        <w:t xml:space="preserve">Reference questions for districts already served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How did the operator handle the last USDA / state audit?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Has there ever been a Smart Snacks compliance finding? How was it remediated?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How quickly does Tier-1 service get resolved during a school day?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Does the operator pull perishables reliably before summer break?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Would you renew with this operator on the same terms?</w:t>
      </w:r>
    </w:p>
    <w:p>
      <w:pPr>
        <w:spacing w:before="400"/>
      </w:pPr>
      <w:r>
        <w:rPr>
          <w:i/>
          <w:iCs/>
          <w:color w:val="6B7280"/>
        </w:rPr>
        <w:t xml:space="preserve">This framework is informational and not legal advice. District-level legal review is required for state-specific addenda; Smart Snacks compliance is the district's obligation under the National School Lunch Program.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K-12 Micro-Market Evaluation Framework</dc:title>
  <dc:creator>LetUsVending</dc:creator>
  <dc:description>Smart Snacks compliance, capability matrix, RFP scope, and USDA audit support</dc:description>
  <cp:lastModifiedBy>Un-named</cp:lastModifiedBy>
  <cp:revision>1</cp:revision>
  <dcterms:created xsi:type="dcterms:W3CDTF">2026-05-17T13:18:06.688Z</dcterms:created>
  <dcterms:modified xsi:type="dcterms:W3CDTF">2026-05-17T13:18:06.689Z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