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Micro-Market vs Specialty Vending Selection Framework</w:t>
      </w:r>
    </w:p>
    <w:p>
      <w:pPr>
        <w:spacing w:after="200"/>
      </w:pPr>
      <w:r>
        <w:rPr>
          <w:i/>
          <w:iCs/>
          <w:color w:val="6B7280"/>
        </w:rPr>
        <w:t xml:space="preserve">Placement criteria, infrastructure checklist, revenue projection, and operator capability</w:t>
      </w:r>
    </w:p>
    <w:p>
      <w:pPr>
        <w:spacing w:after="300"/>
      </w:pPr>
      <w:r>
        <w:t xml:space="preserve">Use this framework to choose between a kiosk-anchored micro-market and a specialty-vending program (single-category machines for coffee, healthy, fresh-food, or branded items) for a 50-300 person facility. The two formats are not interchangeable; they serve different audience sizes and operational economics.</w:t>
      </w:r>
    </w:p>
    <w:p>
      <w:pPr>
        <w:pStyle w:val="Heading1"/>
        <w:spacing w:after="150" w:before="300"/>
      </w:pPr>
      <w:r>
        <w:t xml:space="preserve">Placement criteria — when each format wins</w:t>
      </w:r>
    </w:p>
    <w:p>
      <w:pPr>
        <w:spacing w:after="200"/>
      </w:pPr>
      <w:r>
        <w:t xml:space="preserve">Specialty vending wins below 75 employees or where loss-prevention concerns or 24/7 operation rule out an open-shelf micro-market. Micro-market wins above 75 employees, longer dwell time, or where fresh-food + planogram complexity is required.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Criterion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Micro-market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Specialty vending</w:t>
            </w:r>
          </w:p>
        </w:tc>
      </w:tr>
      <w:tr>
        <w:tc>
          <w:p>
            <w:r>
              <w:t xml:space="preserve">Audience size</w:t>
            </w:r>
          </w:p>
        </w:tc>
        <w:tc>
          <w:p>
            <w:r>
              <w:t xml:space="preserve">75-500+ employees with dwell time</w:t>
            </w:r>
          </w:p>
        </w:tc>
        <w:tc>
          <w:p>
            <w:r>
              <w:t xml:space="preserve">20-150 employees, any dwell pattern</w:t>
            </w:r>
          </w:p>
        </w:tc>
      </w:tr>
      <w:tr>
        <w:tc>
          <w:p>
            <w:r>
              <w:t xml:space="preserve">Loss prevention concern</w:t>
            </w:r>
          </w:p>
        </w:tc>
        <w:tc>
          <w:p>
            <w:r>
              <w:t xml:space="preserve">Lower-shrink populations (corporate, healthcare, mfg with badge access)</w:t>
            </w:r>
          </w:p>
        </w:tc>
        <w:tc>
          <w:p>
            <w:r>
              <w:t xml:space="preserve">Public access, high-traffic transit, 24/7 unsupervised</w:t>
            </w:r>
          </w:p>
        </w:tc>
      </w:tr>
      <w:tr>
        <w:tc>
          <w:p>
            <w:r>
              <w:t xml:space="preserve">SKU complexity</w:t>
            </w:r>
          </w:p>
        </w:tc>
        <w:tc>
          <w:p>
            <w:r>
              <w:t xml:space="preserve">100-300 SKUs across categories</w:t>
            </w:r>
          </w:p>
        </w:tc>
        <w:tc>
          <w:p>
            <w:r>
              <w:t xml:space="preserve">20-40 SKUs in a single category</w:t>
            </w:r>
          </w:p>
        </w:tc>
      </w:tr>
      <w:tr>
        <w:tc>
          <w:p>
            <w:r>
              <w:t xml:space="preserve">Fresh-food + cold-chain depth</w:t>
            </w:r>
          </w:p>
        </w:tc>
        <w:tc>
          <w:p>
            <w:r>
              <w:t xml:space="preserve">Required — multiple coolers + deli/sandwich/salad</w:t>
            </w:r>
          </w:p>
        </w:tc>
        <w:tc>
          <w:p>
            <w:r>
              <w:t xml:space="preserve">Single-category (e.g., one cold drink machine)</w:t>
            </w:r>
          </w:p>
        </w:tc>
      </w:tr>
      <w:tr>
        <w:tc>
          <w:p>
            <w:r>
              <w:t xml:space="preserve">Capital + footprint</w:t>
            </w:r>
          </w:p>
        </w:tc>
        <w:tc>
          <w:p>
            <w:r>
              <w:t xml:space="preserve">$25K-$60K equipment, 200-400 sq ft</w:t>
            </w:r>
          </w:p>
        </w:tc>
        <w:tc>
          <w:p>
            <w:r>
              <w:t xml:space="preserve">$5K-$18K per machine, 12-30 sq ft each</w:t>
            </w:r>
          </w:p>
        </w:tc>
      </w:tr>
      <w:tr>
        <w:tc>
          <w:p>
            <w:r>
              <w:t xml:space="preserve">Operator model</w:t>
            </w:r>
          </w:p>
        </w:tc>
        <w:tc>
          <w:p>
            <w:r>
              <w:t xml:space="preserve">PCI-DSS kiosk + daily restock + cold-chain</w:t>
            </w:r>
          </w:p>
        </w:tc>
        <w:tc>
          <w:p>
            <w:r>
              <w:t xml:space="preserve">Per-machine telemetry + 1-2x weekly restock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Infrastructure checklist by format</w:t>
      </w:r>
    </w:p>
    <w:p>
      <w:pPr>
        <w:spacing w:after="200"/>
      </w:pPr>
      <w:r>
        <w:t xml:space="preserve">Infrastructure scope is the most common reason a planned format slips. Validate before signing the MSA.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Micro-market — 200-400 sq ft contiguous floor space (kiosk + 2 coolers + ambient racks).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Micro-market — 4-6 dedicated 120V/20A circuits per NEC 2023 Article 422.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Micro-market — wired ethernet drop at kiosk; cellular failover ≥ -85 dBm.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Specialty vending — 1 dedicated 120V/20A circuit per machine; NEMA 5-20R within 6 feet.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Specialty vending — cellular signal ≥ -85 dBm or wired ethernet at each machine.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Both formats — ADA Section 305 clear floor space 30 inch × 48 inch at each operable part.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Both formats — ADA Section 308 reach range 15-48 inches on all operable parts.</w:t>
      </w:r>
    </w:p>
    <w:p>
      <w:pPr>
        <w:pStyle w:val="Heading1"/>
        <w:spacing w:after="150" w:before="300"/>
      </w:pPr>
      <w:r>
        <w:t xml:space="preserve">Revenue projection — typical ranges (Automatic Merchandiser 2024 SOI data)</w:t>
      </w:r>
    </w:p>
    <w:p>
      <w:pPr>
        <w:spacing w:after="200"/>
      </w:pPr>
      <w:r>
        <w:t xml:space="preserve">These ranges reflect mature programs in their second year — first year is typically 60-80% of mature. Adjust for region (Midwest 0.85x, West Coast 1.15x).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Format / audience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Monthly gross revenue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Operator net margin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Host commission (typical)</w:t>
            </w:r>
          </w:p>
        </w:tc>
      </w:tr>
      <w:tr>
        <w:tc>
          <w:p>
            <w:r>
              <w:t xml:space="preserve">Single combo (15-50 emp)</w:t>
            </w:r>
          </w:p>
        </w:tc>
        <w:tc>
          <w:p>
            <w:r>
              <w:t xml:space="preserve">$300-$700</w:t>
            </w:r>
          </w:p>
        </w:tc>
        <w:tc>
          <w:p>
            <w:r>
              <w:t xml:space="preserve">20-30%</w:t>
            </w:r>
          </w:p>
        </w:tc>
        <w:tc>
          <w:p>
            <w:r>
              <w:t xml:space="preserve">0-10%</w:t>
            </w:r>
          </w:p>
        </w:tc>
      </w:tr>
      <w:tr>
        <w:tc>
          <w:p>
            <w:r>
              <w:t xml:space="preserve">Paired snack+bev (50-100 emp)</w:t>
            </w:r>
          </w:p>
        </w:tc>
        <w:tc>
          <w:p>
            <w:r>
              <w:t xml:space="preserve">$1,200-$2,800</w:t>
            </w:r>
          </w:p>
        </w:tc>
        <w:tc>
          <w:p>
            <w:r>
              <w:t xml:space="preserve">22-30%</w:t>
            </w:r>
          </w:p>
        </w:tc>
        <w:tc>
          <w:p>
            <w:r>
              <w:t xml:space="preserve">10-15%</w:t>
            </w:r>
          </w:p>
        </w:tc>
      </w:tr>
      <w:tr>
        <w:tc>
          <w:p>
            <w:r>
              <w:t xml:space="preserve">Specialty single (one category)</w:t>
            </w:r>
          </w:p>
        </w:tc>
        <w:tc>
          <w:p>
            <w:r>
              <w:t xml:space="preserve">$600-$1,800</w:t>
            </w:r>
          </w:p>
        </w:tc>
        <w:tc>
          <w:p>
            <w:r>
              <w:t xml:space="preserve">25-35%</w:t>
            </w:r>
          </w:p>
        </w:tc>
        <w:tc>
          <w:p>
            <w:r>
              <w:t xml:space="preserve">10-20%</w:t>
            </w:r>
          </w:p>
        </w:tc>
      </w:tr>
      <w:tr>
        <w:tc>
          <w:p>
            <w:r>
              <w:t xml:space="preserve">AI cooler (75-150 emp)</w:t>
            </w:r>
          </w:p>
        </w:tc>
        <w:tc>
          <w:p>
            <w:r>
              <w:t xml:space="preserve">$2,000-$5,000</w:t>
            </w:r>
          </w:p>
        </w:tc>
        <w:tc>
          <w:p>
            <w:r>
              <w:t xml:space="preserve">20-28%</w:t>
            </w:r>
          </w:p>
        </w:tc>
        <w:tc>
          <w:p>
            <w:r>
              <w:t xml:space="preserve">15-20%</w:t>
            </w:r>
          </w:p>
        </w:tc>
      </w:tr>
      <w:tr>
        <w:tc>
          <w:p>
            <w:r>
              <w:t xml:space="preserve">Micro-market (100-250 emp)</w:t>
            </w:r>
          </w:p>
        </w:tc>
        <w:tc>
          <w:p>
            <w:r>
              <w:t xml:space="preserve">$4,500-$12,000</w:t>
            </w:r>
          </w:p>
        </w:tc>
        <w:tc>
          <w:p>
            <w:r>
              <w:t xml:space="preserve">18-25%</w:t>
            </w:r>
          </w:p>
        </w:tc>
        <w:tc>
          <w:p>
            <w:r>
              <w:t xml:space="preserve">15-25%</w:t>
            </w:r>
          </w:p>
        </w:tc>
      </w:tr>
      <w:tr>
        <w:tc>
          <w:p>
            <w:r>
              <w:t xml:space="preserve">Micro-market (250-500 emp)</w:t>
            </w:r>
          </w:p>
        </w:tc>
        <w:tc>
          <w:p>
            <w:r>
              <w:t xml:space="preserve">$10,000-$25,000</w:t>
            </w:r>
          </w:p>
        </w:tc>
        <w:tc>
          <w:p>
            <w:r>
              <w:t xml:space="preserve">20-28%</w:t>
            </w:r>
          </w:p>
        </w:tc>
        <w:tc>
          <w:p>
            <w:r>
              <w:t xml:space="preserve">18-28%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Operator capability profile — required for either format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Telemetry on every machine / kiosk; sub-15-minute heartbeat.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attestation (SAQ-C-VT or higher).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FDA Food Code 2022 cold-chain attestation for refrigerated TCS food.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Section 308 annual recertification.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Service SLA Tier-1 &lt; 24 hours, Tier-2 &lt; 7 days.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Refund-rate KPI &lt; 2% of transactions.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QBR cadence quarterly with action items.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COI ≥ $2M product liability with host as additional insured.</w:t>
      </w:r>
    </w:p>
    <w:p>
      <w:pPr>
        <w:pStyle w:val="Heading1"/>
        <w:spacing w:after="150" w:before="300"/>
      </w:pPr>
      <w:r>
        <w:t xml:space="preserve">Decision shortcut — which to pick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&lt; 50 employees → specialty or combo (micro-market won't pencil).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50-75 employees, narrow SKU need → specialty paired with a coffee unit.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75-150 employees, broad need + fresh food → micro-market.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150+ employees → micro-market is the standard.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24/7 unsupervised public access → specialty vending only (shrink risk too high for open shelves).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Single high-volume category (e.g., coffee at a 500-person call center) → branded specialty as the primary format.</w:t>
      </w:r>
    </w:p>
    <w:p>
      <w:pPr>
        <w:spacing w:before="400"/>
      </w:pPr>
      <w:r>
        <w:rPr>
          <w:i/>
          <w:iCs/>
          <w:color w:val="6B7280"/>
        </w:rPr>
        <w:t xml:space="preserve">This framework is operational guidance. Revenue projections vary materially by region, audience, and operator capability — obtain projections from 3 vetted operators before committing.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Micro-Market vs Specialty Vending Selection Framework</dc:title>
  <dc:creator>LetUsVending</dc:creator>
  <dc:description>Placement criteria, infrastructure checklist, revenue projection, and operator capability</dc:description>
  <cp:lastModifiedBy>Un-named</cp:lastModifiedBy>
  <cp:revision>1</cp:revision>
  <dcterms:created xsi:type="dcterms:W3CDTF">2026-05-17T13:18:06.746Z</dcterms:created>
  <dcterms:modified xsi:type="dcterms:W3CDTF">2026-05-17T13:18:06.747Z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