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Pop-Up Vending for Special Events RFP Template</w:t>
      </w:r>
    </w:p>
    <w:p>
      <w:pPr>
        <w:spacing w:after="200"/>
      </w:pPr>
      <w:r>
        <w:rPr>
          <w:i/>
          <w:iCs/>
          <w:color w:val="6B7280"/>
        </w:rPr>
        <w:t xml:space="preserve">Deployment timeline, permit checklist, sponsor-integration playbook, and operator scoring framework</w:t>
      </w:r>
    </w:p>
    <w:p>
      <w:pPr>
        <w:spacing w:after="300"/>
      </w:pPr>
      <w:r>
        <w:t xml:space="preserve">Use this RFP template to solicit pop-up vending bids for festivals, conventions, sports activations, and brand experiences. Pop-up programs differ from permanent placements: short deployment, weather exposure, permit complexity, and sponsor-driven SKU mix. This template specifies all four.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rPr>
          <w:b/>
          <w:bCs/>
          <w:color w:val="111827"/>
        </w:rPr>
        <w:t xml:space="preserve">Event type + duration: </w:t>
      </w:r>
      <w:r>
        <w:t xml:space="preserve">(festival / convention / sports activation / brand experience — specify days on-site, daily attendance, weather risk)</w:t>
      </w:r>
    </w:p>
    <w:p>
      <w:pPr>
        <w:spacing w:after="120"/>
      </w:pPr>
      <w:r>
        <w:rPr>
          <w:b/>
          <w:bCs/>
          <w:color w:val="111827"/>
        </w:rPr>
        <w:t xml:space="preserve">Footprint: </w:t>
      </w:r>
      <w:r>
        <w:t xml:space="preserve">Number of pop-up units, footprint per unit (typical 10x10 to 20x20 with machine + queue), power + water needs. Capability framing — describe environment, not anchor event names.</w:t>
      </w:r>
    </w:p>
    <w:p>
      <w:pPr>
        <w:spacing w:after="120"/>
      </w:pPr>
      <w:r>
        <w:rPr>
          <w:b/>
          <w:bCs/>
          <w:color w:val="111827"/>
        </w:rPr>
        <w:t xml:space="preserve">Deployment window: </w:t>
      </w:r>
      <w:r>
        <w:t xml:space="preserve">Load-in date, event date(s), load-out date. Typical pop-up timeline T-60 / T-30 / T-7 / T-0 / T+1.</w:t>
      </w:r>
    </w:p>
    <w:p>
      <w:pPr>
        <w:spacing w:after="120"/>
      </w:pPr>
      <w:r>
        <w:rPr>
          <w:b/>
          <w:bCs/>
          <w:color w:val="111827"/>
        </w:rPr>
        <w:t xml:space="preserve">Contract: </w:t>
      </w:r>
      <w:r>
        <w:t xml:space="preserve">Single-event or multi-event (e.g., 6-event festival circuit). Operator scopes mobilization cost separately if multi-event.</w:t>
      </w:r>
    </w:p>
    <w:p>
      <w:pPr>
        <w:pStyle w:val="Heading1"/>
        <w:spacing w:after="150" w:before="300"/>
      </w:pPr>
      <w:r>
        <w:t xml:space="preserve">2. Deployment timeline (T-60 to T+1)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p>
            <w:r>
              <w:t xml:space="preserve">T-60 days — contract + site survey</w:t>
            </w:r>
          </w:p>
        </w:tc>
        <w:tc>
          <w:p>
            <w:r>
              <w:t xml:space="preserve">Operator + venue ops</w:t>
            </w:r>
          </w:p>
        </w:tc>
        <w:tc>
          <w:p>
            <w:r>
              <w:t xml:space="preserve">Signed contract, site survey with power / water / load-path photos, machine count finalized</w:t>
            </w:r>
          </w:p>
        </w:tc>
      </w:tr>
      <w:tr>
        <w:tc>
          <w:p>
            <w:r>
              <w:t xml:space="preserve">T-45 days — permit application</w:t>
            </w:r>
          </w:p>
        </w:tc>
        <w:tc>
          <w:p>
            <w:r>
              <w:t xml:space="preserve">Operator</w:t>
            </w:r>
          </w:p>
        </w:tc>
        <w:tc>
          <w:p>
            <w:r>
              <w:t xml:space="preserve">All permits filed per Section 3; copies to venue procurement</w:t>
            </w:r>
          </w:p>
        </w:tc>
      </w:tr>
      <w:tr>
        <w:tc>
          <w:p>
            <w:r>
              <w:t xml:space="preserve">T-30 days — SKU + sponsor lock</w:t>
            </w:r>
          </w:p>
        </w:tc>
        <w:tc>
          <w:p>
            <w:r>
              <w:t xml:space="preserve">Operator + sponsor lead</w:t>
            </w:r>
          </w:p>
        </w:tc>
        <w:tc>
          <w:p>
            <w:r>
              <w:t xml:space="preserve">SKU catalog locked; sponsor branding art-board approved</w:t>
            </w:r>
          </w:p>
        </w:tc>
      </w:tr>
      <w:tr>
        <w:tc>
          <w:p>
            <w:r>
              <w:t xml:space="preserve">T-14 days — production + branding</w:t>
            </w:r>
          </w:p>
        </w:tc>
        <w:tc>
          <w:p>
            <w:r>
              <w:t xml:space="preserve">Operator</w:t>
            </w:r>
          </w:p>
        </w:tc>
        <w:tc>
          <w:p>
            <w:r>
              <w:t xml:space="preserve">Vinyl wraps produced; equipment staged; insurance certificates issued</w:t>
            </w:r>
          </w:p>
        </w:tc>
      </w:tr>
      <w:tr>
        <w:tc>
          <w:p>
            <w:r>
              <w:t xml:space="preserve">T-7 days — pre-event ops review</w:t>
            </w:r>
          </w:p>
        </w:tc>
        <w:tc>
          <w:p>
            <w:r>
              <w:t xml:space="preserve">Operator + venue ops</w:t>
            </w:r>
          </w:p>
        </w:tc>
        <w:tc>
          <w:p>
            <w:r>
              <w:t xml:space="preserve">Walk-through, refund + escalation contact list, restock cadence confirmed</w:t>
            </w:r>
          </w:p>
        </w:tc>
      </w:tr>
      <w:tr>
        <w:tc>
          <w:p>
            <w:r>
              <w:t xml:space="preserve">T-3 days — staging + delivery</w:t>
            </w:r>
          </w:p>
        </w:tc>
        <w:tc>
          <w:p>
            <w:r>
              <w:t xml:space="preserve">Operator</w:t>
            </w:r>
          </w:p>
        </w:tc>
        <w:tc>
          <w:p>
            <w:r>
              <w:t xml:space="preserve">Machines delivered to staging zone; commissioning + telemetry test</w:t>
            </w:r>
          </w:p>
        </w:tc>
      </w:tr>
      <w:tr>
        <w:tc>
          <w:p>
            <w:r>
              <w:t xml:space="preserve">T-1 day — load-in + setup</w:t>
            </w:r>
          </w:p>
        </w:tc>
        <w:tc>
          <w:p>
            <w:r>
              <w:t xml:space="preserve">Operator + venue ops</w:t>
            </w:r>
          </w:p>
        </w:tc>
        <w:tc>
          <w:p>
            <w:r>
              <w:t xml:space="preserve">Final placement, power-up, payment-system test, stock to plan</w:t>
            </w:r>
          </w:p>
        </w:tc>
      </w:tr>
      <w:tr>
        <w:tc>
          <w:p>
            <w:r>
              <w:t xml:space="preserve">T-0 — event day(s)</w:t>
            </w:r>
          </w:p>
        </w:tc>
        <w:tc>
          <w:p>
            <w:r>
              <w:t xml:space="preserve">Operator on-site team</w:t>
            </w:r>
          </w:p>
        </w:tc>
        <w:tc>
          <w:p>
            <w:r>
              <w:t xml:space="preserve">Continuous restock per telemetry; refund handling; uptime ≥ 98%</w:t>
            </w:r>
          </w:p>
        </w:tc>
      </w:tr>
      <w:tr>
        <w:tc>
          <w:p>
            <w:r>
              <w:t xml:space="preserve">T+1 — load-out + recon</w:t>
            </w:r>
          </w:p>
        </w:tc>
        <w:tc>
          <w:p>
            <w:r>
              <w:t xml:space="preserve">Operator</w:t>
            </w:r>
          </w:p>
        </w:tc>
        <w:tc>
          <w:p>
            <w:r>
              <w:t xml:space="preserve">Equipment removed within agreed window; final reconciliation report within 5 business days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Permit + compliance checklist</w:t>
      </w:r>
    </w:p>
    <w:p>
      <w:pPr>
        <w:spacing w:after="200"/>
      </w:pPr>
      <w:r>
        <w:t xml:space="preserve">Pop-up vending typically requires more permits than permanent placements. Operator owns filing; venue provides letters of authorization where required. Reference local health department + fire marshal codes (NFPA 1 / IFC Chapter 38 for temporary structures, local food-service permits).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Temporary food-service permit (health department) — required where TCS food is sold; lead time typically 14-21 days.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Temporary structure / tent permit per NFPA 1 Chapter 25 or IFC Chapter 38 — required for footprints with overhead cover &gt; 200 sq ft.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Electrical permit for temporary power (generator or venue-provided) — local AHJ inspection often required for 100A+ service.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Fire marshal sign-off on egress, extinguisher placement (one 2A:10B:C per 75 ft of travel distance per NFPA 10).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Business license + sales-tax registration for the jurisdiction (where operator is out-of-state).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ABC review if any SKUs include functional botanicals near regulatory line (e.g., kava, CBD).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Certificate of insurance naming venue, event producer, and host municipality as additional insured.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Background-check attestation for all on-site staff (where event requires).</w:t>
      </w:r>
    </w:p>
    <w:p>
      <w:pPr>
        <w:pStyle w:val="Heading1"/>
        <w:spacing w:after="150" w:before="300"/>
      </w:pPr>
      <w:r>
        <w:t xml:space="preserve">4. Sponsor-integration playbook</w:t>
      </w:r>
    </w:p>
    <w:p>
      <w:pPr>
        <w:spacing w:after="60" w:before="120"/>
      </w:pPr>
      <w:r>
        <w:rPr>
          <w:b/>
          <w:bCs/>
        </w:rPr>
        <w:t xml:space="preserve">1. Brand-tier matrix</w:t>
      </w:r>
    </w:p>
    <w:p>
      <w:pPr>
        <w:spacing w:after="120"/>
      </w:pPr>
      <w:r>
        <w:t xml:space="preserve">Operator presents primary / secondary / tertiary logo placement matrix. Primary = full wrap; secondary = side panel + digital sidekick; tertiary = shelf-talker or signage adjacent.</w:t>
      </w:r>
    </w:p>
    <w:p>
      <w:pPr>
        <w:spacing w:after="60" w:before="120"/>
      </w:pPr>
      <w:r>
        <w:rPr>
          <w:b/>
          <w:bCs/>
        </w:rPr>
        <w:t xml:space="preserve">2. Sponsor SKU integration</w:t>
      </w:r>
    </w:p>
    <w:p>
      <w:pPr>
        <w:spacing w:after="120"/>
      </w:pPr>
      <w:r>
        <w:t xml:space="preserve">Operator merchandises sponsor SKUs at eye-level shelves (rows 2-3 of typical machine), with sponsor logo on machine and dedicated digital sidekick callout. Velocity reported separately.</w:t>
      </w:r>
    </w:p>
    <w:p>
      <w:pPr>
        <w:spacing w:after="60" w:before="120"/>
      </w:pPr>
      <w:r>
        <w:rPr>
          <w:b/>
          <w:bCs/>
        </w:rPr>
        <w:t xml:space="preserve">3. Activation extensions</w:t>
      </w:r>
    </w:p>
    <w:p>
      <w:pPr>
        <w:spacing w:after="120"/>
      </w:pPr>
      <w:r>
        <w:t xml:space="preserve">Optional QR / NFC tap at machine pushes to sponsor landing page or sweepstakes entry. Operator provides scan-volume report at T+1 reconciliation.</w:t>
      </w:r>
    </w:p>
    <w:p>
      <w:pPr>
        <w:spacing w:after="60" w:before="120"/>
      </w:pPr>
      <w:r>
        <w:rPr>
          <w:b/>
          <w:bCs/>
        </w:rPr>
        <w:t xml:space="preserve">4. Sponsor compliance</w:t>
      </w:r>
    </w:p>
    <w:p>
      <w:pPr>
        <w:spacing w:after="120"/>
      </w:pPr>
      <w:r>
        <w:t xml:space="preserve">Operator must hold sponsor-brand approval before T-30 lock. Any in-event content change requires sponsor + venue marketing co-approval within 24 hours.</w:t>
      </w:r>
    </w:p>
    <w:p>
      <w:pPr>
        <w:pStyle w:val="Heading1"/>
        <w:spacing w:after="150" w:before="300"/>
      </w:pPr>
      <w:r>
        <w:t xml:space="preserve">5. Outdoor + weather provisions</w:t>
      </w:r>
    </w:p>
    <w:p>
      <w:pPr>
        <w:spacing w:after="120"/>
      </w:pPr>
      <w:r>
        <w:rPr>
          <w:b/>
          <w:bCs/>
          <w:color w:val="111827"/>
        </w:rPr>
        <w:t xml:space="preserve">Equipment rating: </w:t>
      </w:r>
      <w:r>
        <w:t xml:space="preserve">NEMA 3R minimum for any equipment exposed to weather; NEMA 4 for hose-down environments. Specify UL 751 listing for vending machines.</w:t>
      </w:r>
    </w:p>
    <w:p>
      <w:pPr>
        <w:spacing w:after="120"/>
      </w:pPr>
      <w:r>
        <w:rPr>
          <w:b/>
          <w:bCs/>
          <w:color w:val="111827"/>
        </w:rPr>
        <w:t xml:space="preserve">Temperature operating range: </w:t>
      </w:r>
      <w:r>
        <w:t xml:space="preserve">Most refrigerated vending operates 35°F-100°F ambient. Outdoor deployments below 32°F or above 105°F require shade structures, supplemental cooling, or interior placement.</w:t>
      </w:r>
    </w:p>
    <w:p>
      <w:pPr>
        <w:spacing w:after="120"/>
      </w:pPr>
      <w:r>
        <w:rPr>
          <w:b/>
          <w:bCs/>
          <w:color w:val="111827"/>
        </w:rPr>
        <w:t xml:space="preserve">Weather contingency: </w:t>
      </w:r>
      <w:r>
        <w:t xml:space="preserve">Operator commits to weather-event protocol: wind gust &gt; 40 mph or lightning within 8 mi triggers shutdown + lockdown per NWS guidance.</w:t>
      </w:r>
    </w:p>
    <w:p>
      <w:pPr>
        <w:spacing w:after="120"/>
      </w:pPr>
      <w:r>
        <w:rPr>
          <w:b/>
          <w:bCs/>
          <w:color w:val="111827"/>
        </w:rPr>
        <w:t xml:space="preserve">Surge planning: </w:t>
      </w:r>
      <w:r>
        <w:t xml:space="preserve">Operator schedules dedicated restock surge crew during peak attendance windows (typically the 2-hour window before and after main event).</w:t>
      </w:r>
    </w:p>
    <w:p>
      <w:pPr>
        <w:pStyle w:val="Heading1"/>
        <w:spacing w:after="150" w:before="300"/>
      </w:pPr>
      <w:r>
        <w:t xml:space="preserve">6. SLA + credits</w:t>
      </w:r>
    </w:p>
    <w:p>
      <w:pPr>
        <w:spacing w:after="120"/>
      </w:pPr>
      <w:r>
        <w:rPr>
          <w:b/>
          <w:bCs/>
          <w:color w:val="111827"/>
        </w:rPr>
        <w:t xml:space="preserve">On-time load-in SLA: </w:t>
      </w:r>
      <w:r>
        <w:t xml:space="preserve">100% of units operational by event open. Each unit late = 5% credit on that line item.</w:t>
      </w:r>
    </w:p>
    <w:p>
      <w:pPr>
        <w:spacing w:after="120"/>
      </w:pPr>
      <w:r>
        <w:rPr>
          <w:b/>
          <w:bCs/>
          <w:color w:val="111827"/>
        </w:rPr>
        <w:t xml:space="preserve">Uptime SLA (event hours): </w:t>
      </w:r>
      <w:r>
        <w:t xml:space="preserve">98%; each percentage point below = 2% credit.</w:t>
      </w:r>
    </w:p>
    <w:p>
      <w:pPr>
        <w:spacing w:after="120"/>
      </w:pPr>
      <w:r>
        <w:rPr>
          <w:b/>
          <w:bCs/>
          <w:color w:val="111827"/>
        </w:rPr>
        <w:t xml:space="preserve">Stockout SLA: </w:t>
      </w:r>
      <w:r>
        <w:t xml:space="preserve">Per-SKU stockout &gt; 1 hour during peak window = SKU-line credit for that day.</w:t>
      </w:r>
    </w:p>
    <w:p>
      <w:pPr>
        <w:spacing w:after="120"/>
      </w:pPr>
      <w:r>
        <w:rPr>
          <w:b/>
          <w:bCs/>
          <w:color w:val="111827"/>
        </w:rPr>
        <w:t xml:space="preserve">Refund SLA: </w:t>
      </w:r>
      <w:r>
        <w:t xml:space="preserve">On-site refund desk staffed during all event hours; cashless refund auto-credited within 4 hours; cash refund issued on-site.</w:t>
      </w:r>
    </w:p>
    <w:p>
      <w:pPr>
        <w:spacing w:after="120"/>
      </w:pPr>
      <w:r>
        <w:rPr>
          <w:b/>
          <w:bCs/>
          <w:color w:val="111827"/>
        </w:rPr>
        <w:t xml:space="preserve">Reconciliation SLA: </w:t>
      </w:r>
      <w:r>
        <w:t xml:space="preserve">Final report within 5 business days of load-out.</w:t>
      </w:r>
    </w:p>
    <w:p>
      <w:pPr>
        <w:pStyle w:val="Heading1"/>
        <w:spacing w:after="150" w:before="300"/>
      </w:pPr>
      <w:r>
        <w:t xml:space="preserve">7. Required attachments (operator response)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Portfolio: 3+ comparable pop-up deployments (capability framing — describe scale and complexity, not anchor event names).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deployment timeline (Section 2) populated for a comparable event.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Permit-filing track record + sample COI.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Sponsor-integration capability deck (Section 4).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Outdoor equipment spec sheets (NEMA / UL ratings).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reconciliation report.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References: 3 event-producer or venue contacts (last 24 months).</w:t>
      </w:r>
    </w:p>
    <w:p>
      <w:pPr>
        <w:pStyle w:val="Heading1"/>
        <w:spacing w:after="150" w:before="300"/>
      </w:pPr>
      <w:r>
        <w:t xml:space="preserve">8. Submission instructions</w:t>
      </w:r>
    </w:p>
    <w:p>
      <w:pPr>
        <w:spacing w:after="120"/>
      </w:pPr>
      <w:r>
        <w:rPr>
          <w:b/>
          <w:bCs/>
          <w:color w:val="111827"/>
        </w:rPr>
        <w:t xml:space="preserve">Format: </w:t>
      </w:r>
      <w:r>
        <w:t xml:space="preserve">PDF response via procurement portal.</w:t>
      </w:r>
    </w:p>
    <w:p>
      <w:pPr>
        <w:spacing w:after="120"/>
      </w:pPr>
      <w:r>
        <w:rPr>
          <w:b/>
          <w:bCs/>
          <w:color w:val="111827"/>
        </w:rPr>
        <w:t xml:space="preserve">Due date: </w:t>
      </w:r>
      <w:r>
        <w:t xml:space="preserve">(specify — typically 21-30 days from RFP issue, given pop-up timeline pressure)</w:t>
      </w:r>
    </w:p>
    <w:p>
      <w:pPr>
        <w:spacing w:after="120"/>
      </w:pPr>
      <w:r>
        <w:rPr>
          <w:b/>
          <w:bCs/>
          <w:color w:val="111827"/>
        </w:rPr>
        <w:t xml:space="preserve">Mandatory site walk: </w:t>
      </w:r>
      <w:r>
        <w:t xml:space="preserve">Operator must attend site walk; capability framing applies — operators are evaluated on capability fit, not prior placements at the named venue.</w:t>
      </w:r>
    </w:p>
    <w:p>
      <w:pPr>
        <w:spacing w:after="120"/>
      </w:pPr>
      <w:r>
        <w:rPr>
          <w:b/>
          <w:bCs/>
          <w:color w:val="111827"/>
        </w:rPr>
        <w:t xml:space="preserve">Award notification: </w:t>
      </w:r>
      <w:r>
        <w:t xml:space="preserve">(specify — typically within 14 days after submission close)</w:t>
      </w:r>
    </w:p>
    <w:p>
      <w:pPr>
        <w:spacing w:before="400"/>
      </w:pPr>
      <w:r>
        <w:rPr>
          <w:i/>
          <w:iCs/>
          <w:color w:val="6B7280"/>
        </w:rPr>
        <w:t xml:space="preserve">Informational template; not legal advice. Permit and insurance requirements vary by jurisdiction — confirm with the local AHJ and risk counsel.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Pop-Up Vending for Special Events RFP Template</dc:title>
  <dc:creator>LetUsVending</dc:creator>
  <dc:description>Deployment timeline, permit checklist, sponsor-integration playbook, and operator scoring framework</dc:description>
  <cp:lastModifiedBy>Un-named</cp:lastModifiedBy>
  <cp:revision>1</cp:revision>
  <dcterms:created xsi:type="dcterms:W3CDTF">2026-05-17T13:18:07.554Z</dcterms:created>
  <dcterms:modified xsi:type="dcterms:W3CDTF">2026-05-17T13:18:07.555Z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