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Vending Machine Ownership Decision Framework</w:t>
      </w:r>
    </w:p>
    <w:p>
      <w:pPr>
        <w:spacing w:after="200"/>
      </w:pPr>
      <w:r>
        <w:rPr>
          <w:i/>
          <w:iCs/>
          <w:color w:val="6B7280"/>
        </w:rPr>
        <w:t xml:space="preserve">Capability + capital + account discipline checklist before you buy your first machine</w:t>
      </w:r>
    </w:p>
    <w:p>
      <w:pPr>
        <w:spacing w:after="300"/>
      </w:pPr>
      <w:r>
        <w:t xml:space="preserve">Use this framework before you commit capital to your first vending machine. Ownership is profitable only when capability, capital, and account discipline align. Most first-time operators who lose money skip one of the three.</w:t>
      </w:r>
    </w:p>
    <w:p>
      <w:pPr>
        <w:pStyle w:val="Heading1"/>
        <w:spacing w:after="150" w:before="300"/>
      </w:pPr>
      <w:r>
        <w:t xml:space="preserve">Capability checklist — can you actually operate?</w:t>
      </w:r>
    </w:p>
    <w:p>
      <w:pPr>
        <w:spacing w:after="200"/>
      </w:pPr>
      <w:r>
        <w:t xml:space="preserve">Vending is a service business with hardware. You need basic mechanical, payment-system, and food-safety capability — or a paid relationship with someone who has it.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Can you change a spiral, troubleshoot an MDB harness, and clear a coin-mech jam? If no, budget $75-$150 per service call.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Can you read a Cantaloupe / Nayax dashboard and adjust a planogram based on per-SKU velocity?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Are you available for emergency service within 24 hours, including weekends? If no, budget for a service contract.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Are you comfortable handling cash (counting, depositing, ATM fees) — or are you committed to 100% cashless from day 1?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Do you have a vehicle capable of transporting a hand-truck + 200 lbs of product + a 600-lb machine on a tow trailer?</w:t>
      </w:r>
    </w:p>
    <w:p>
      <w:pPr>
        <w:pStyle w:val="Heading1"/>
        <w:spacing w:after="150" w:before="300"/>
      </w:pPr>
      <w:r>
        <w:t xml:space="preserve">Capital checklist — can you fund the cycle?</w:t>
      </w:r>
    </w:p>
    <w:p>
      <w:pPr>
        <w:spacing w:after="200"/>
      </w:pPr>
      <w:r>
        <w:t xml:space="preserve">First-machine economics are tight. Owner-operators who undercapitalize typically run out of cash 4-6 months in when product inventory + service costs hit before stable revenue.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Equipment — $2,800-$8,500 per machine (refurb to new) per Automatic Merchandiser 2024 SOI averages.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Initial inventory — $300-$600 per machine to fully stock.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Cashless reader — $150-$400 upfront + $5-$15/month per machine.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Telemetry — bundled with cashless or $5-$15/month standalone.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Delivery + install — $200-$800 depending on stairs, freight elevator, and distance.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Insurance — $600-$1,800/year for $1M / $2M general liability + product liability.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Sales-tax + license fees — $50-$500/year depending on state + city.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Working capital reserve — 4-6 months of replacement inventory + service costs. Underfunded operators run out of cash before stable revenue arrives.</w:t>
      </w:r>
    </w:p>
    <w:p>
      <w:pPr>
        <w:pStyle w:val="Heading1"/>
        <w:spacing w:after="150" w:before="300"/>
      </w:pPr>
      <w:r>
        <w:t xml:space="preserve">Account discipline checklist — are you ready to evaluate stops?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Are you prepared to walk away from a stop scoring below 65 on the location criteria scorecard (audience, infrastructure, drive-time, demographics)?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Can you say no to a stop where the decision-maker is not signing the MSA (e.g., a friendly receptionist whose boss doesn't know about the placement)?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Have you verified the stop's prior operator and contract status? Placing on top of an active multi-year contract is a TI tort risk.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Are you committed to a 60-90 day pilot with telemetry data before signing a multi-year MSA?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Will you maintain a documented refund procedure (operator app + SMS + on-machine) from day 1, not after the first complaint?</w:t>
      </w:r>
    </w:p>
    <w:p>
      <w:pPr>
        <w:pStyle w:val="Heading1"/>
        <w:spacing w:after="150" w:before="300"/>
      </w:pPr>
      <w:r>
        <w:t xml:space="preserve">Pros — when ownership is the right model</w:t>
      </w:r>
    </w:p>
    <w:p>
      <w:pPr>
        <w:spacing w:after="60" w:before="120"/>
      </w:pPr>
      <w:r>
        <w:rPr>
          <w:b/>
          <w:bCs/>
        </w:rPr>
        <w:t xml:space="preserve">1. Margin retention</w:t>
      </w:r>
    </w:p>
    <w:p>
      <w:pPr>
        <w:spacing w:after="120"/>
      </w:pPr>
      <w:r>
        <w:t xml:space="preserve">Owner-operator captures the full 18-30% net margin instead of a 8-15% commission on host-funded models.</w:t>
      </w:r>
    </w:p>
    <w:p>
      <w:pPr>
        <w:spacing w:after="60" w:before="120"/>
      </w:pPr>
      <w:r>
        <w:rPr>
          <w:b/>
          <w:bCs/>
        </w:rPr>
        <w:t xml:space="preserve">2. Operational control</w:t>
      </w:r>
    </w:p>
    <w:p>
      <w:pPr>
        <w:spacing w:after="120"/>
      </w:pPr>
      <w:r>
        <w:t xml:space="preserve">You set the planogram, service cadence, and pricing — no host or franchisor approvals.</w:t>
      </w:r>
    </w:p>
    <w:p>
      <w:pPr>
        <w:spacing w:after="60" w:before="120"/>
      </w:pPr>
      <w:r>
        <w:rPr>
          <w:b/>
          <w:bCs/>
        </w:rPr>
        <w:t xml:space="preserve">3. Capital efficiency at scale</w:t>
      </w:r>
    </w:p>
    <w:p>
      <w:pPr>
        <w:spacing w:after="120"/>
      </w:pPr>
      <w:r>
        <w:t xml:space="preserve">Once you exceed 15-25 machines, route economics improve materially — fixed costs (vehicle, telemetry contracts, insurance) amortize across more units.</w:t>
      </w:r>
    </w:p>
    <w:p>
      <w:pPr>
        <w:spacing w:after="60" w:before="120"/>
      </w:pPr>
      <w:r>
        <w:rPr>
          <w:b/>
          <w:bCs/>
        </w:rPr>
        <w:t xml:space="preserve">4. Exit value</w:t>
      </w:r>
    </w:p>
    <w:p>
      <w:pPr>
        <w:spacing w:after="120"/>
      </w:pPr>
      <w:r>
        <w:t xml:space="preserve">Established routes sell at 1.5-3x trailing 12-month net based on Industry Insights data and broker comps. Equipment + telemetry + accounts are the salable assets.</w:t>
      </w:r>
    </w:p>
    <w:p>
      <w:pPr>
        <w:pStyle w:val="Heading1"/>
        <w:spacing w:after="150" w:before="300"/>
      </w:pPr>
      <w:r>
        <w:t xml:space="preserve">Cons — when ownership is the wrong model</w:t>
      </w:r>
    </w:p>
    <w:p>
      <w:pPr>
        <w:spacing w:after="60" w:before="120"/>
      </w:pPr>
      <w:r>
        <w:rPr>
          <w:b/>
          <w:bCs/>
        </w:rPr>
        <w:t xml:space="preserve">1. Service obligation</w:t>
      </w:r>
    </w:p>
    <w:p>
      <w:pPr>
        <w:spacing w:after="120"/>
      </w:pPr>
      <w:r>
        <w:t xml:space="preserve">Machines break, payments fail, and product expires. Owner-operators on call 24/7 until they hire help.</w:t>
      </w:r>
    </w:p>
    <w:p>
      <w:pPr>
        <w:spacing w:after="60" w:before="120"/>
      </w:pPr>
      <w:r>
        <w:rPr>
          <w:b/>
          <w:bCs/>
        </w:rPr>
        <w:t xml:space="preserve">2. Cash-flow timing</w:t>
      </w:r>
    </w:p>
    <w:p>
      <w:pPr>
        <w:spacing w:after="120"/>
      </w:pPr>
      <w:r>
        <w:t xml:space="preserve">Inventory + service costs front-load; revenue trickles in 30-90 days. Undercapitalized operators stall.</w:t>
      </w:r>
    </w:p>
    <w:p>
      <w:pPr>
        <w:spacing w:after="60" w:before="120"/>
      </w:pPr>
      <w:r>
        <w:rPr>
          <w:b/>
          <w:bCs/>
        </w:rPr>
        <w:t xml:space="preserve">3. Compliance complexity</w:t>
      </w:r>
    </w:p>
    <w:p>
      <w:pPr>
        <w:spacing w:after="120"/>
      </w:pPr>
      <w:r>
        <w:t xml:space="preserve">PCI-DSS v4.0, ADA Section 308, FDA Food Code 2022, state sales-tax + vending license, COI maintenance — non-negotiable above 5-10 machines.</w:t>
      </w:r>
    </w:p>
    <w:p>
      <w:pPr>
        <w:spacing w:after="60" w:before="120"/>
      </w:pPr>
      <w:r>
        <w:rPr>
          <w:b/>
          <w:bCs/>
        </w:rPr>
        <w:t xml:space="preserve">4. Location acquisition risk</w:t>
      </w:r>
    </w:p>
    <w:p>
      <w:pPr>
        <w:spacing w:after="120"/>
      </w:pPr>
      <w:r>
        <w:t xml:space="preserve">Paid locator scams (16 CFR Part 437) target new operators. Many first-time operators lose $5K-$15K on biz-op fraud before their first revenue dollar.</w:t>
      </w:r>
    </w:p>
    <w:p>
      <w:pPr>
        <w:pStyle w:val="Heading1"/>
        <w:spacing w:after="150" w:before="300"/>
      </w:pPr>
      <w:r>
        <w:t xml:space="preserve">Decision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Profile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Recommendation</w:t>
            </w:r>
          </w:p>
        </w:tc>
      </w:tr>
      <w:tr>
        <w:tc>
          <w:p>
            <w:r>
              <w:t xml:space="preserve">Capability ✓ + Capital ✓ + Discipline ✓</w:t>
            </w:r>
          </w:p>
        </w:tc>
        <w:tc>
          <w:p>
            <w:r>
              <w:t xml:space="preserve">Buy + grow. Start with 3-5 machines; aim for 15-25 in year 1.</w:t>
            </w:r>
          </w:p>
        </w:tc>
      </w:tr>
      <w:tr>
        <w:tc>
          <w:p>
            <w:r>
              <w:t xml:space="preserve">Capability ✓ + Capital ✗</w:t>
            </w:r>
          </w:p>
        </w:tc>
        <w:tc>
          <w:p>
            <w:r>
              <w:t xml:space="preserve">Delay until you have 4-6 months working capital reserve, then start small.</w:t>
            </w:r>
          </w:p>
        </w:tc>
      </w:tr>
      <w:tr>
        <w:tc>
          <w:p>
            <w:r>
              <w:t xml:space="preserve">Capability ✗ + Capital ✓</w:t>
            </w:r>
          </w:p>
        </w:tc>
        <w:tc>
          <w:p>
            <w:r>
              <w:t xml:space="preserve">Partner with an experienced operator OR start with a managed-service operator model.</w:t>
            </w:r>
          </w:p>
        </w:tc>
      </w:tr>
      <w:tr>
        <w:tc>
          <w:p>
            <w:r>
              <w:t xml:space="preserve">Capability ✗ + Capital ✗</w:t>
            </w:r>
          </w:p>
        </w:tc>
        <w:tc>
          <w:p>
            <w:r>
              <w:t xml:space="preserve">Don't buy machines. Place a host-funded program through an established operator network.</w:t>
            </w:r>
          </w:p>
        </w:tc>
      </w:tr>
      <w:tr>
        <w:tc>
          <w:p>
            <w:r>
              <w:t xml:space="preserve">Discipline ✗</w:t>
            </w:r>
          </w:p>
        </w:tc>
        <w:tc>
          <w:p>
            <w:r>
              <w:t xml:space="preserve">Acquire discipline first. Read MSAs, study the FTC biz-op rule, walk away from bad stops.</w:t>
            </w:r>
          </w:p>
        </w:tc>
      </w:tr>
    </w:tbl>
    <w:p>
      <w:pPr>
        <w:spacing w:after="200"/>
      </w:pPr>
    </w:p>
    <w:p>
      <w:pPr>
        <w:spacing w:before="400"/>
      </w:pPr>
      <w:r>
        <w:rPr>
          <w:i/>
          <w:iCs/>
          <w:color w:val="6B7280"/>
        </w:rPr>
        <w:t xml:space="preserve">This framework is informational and not financial or legal advice. Equipment costs, route economics, and licensing vary by region; consult a licensed advisor before committing capital.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Vending Machine Ownership Decision Framework</dc:title>
  <dc:creator>LetUsVending</dc:creator>
  <dc:description>Capability + capital + account discipline checklist before you buy your first machine</dc:description>
  <cp:lastModifiedBy>Un-named</cp:lastModifiedBy>
  <cp:revision>1</cp:revision>
  <dcterms:created xsi:type="dcterms:W3CDTF">2026-05-17T13:18:07.692Z</dcterms:created>
  <dcterms:modified xsi:type="dcterms:W3CDTF">2026-05-17T13:18:07.692Z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