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Event-Audience Vending Psychology RFP Template</w:t>
      </w:r>
    </w:p>
    <w:p>
      <w:pPr>
        <w:spacing w:after="200"/>
      </w:pPr>
      <w:r>
        <w:rPr>
          <w:i/>
          <w:iCs/>
          <w:color w:val="6B7280"/>
        </w:rPr>
        <w:t xml:space="preserve">Seven-driver framework, zone-specific design, pricing structure, and operator scoring</w:t>
      </w:r>
    </w:p>
    <w:p>
      <w:pPr>
        <w:spacing w:after="300"/>
      </w:pPr>
      <w:r>
        <w:t xml:space="preserve">Use this RFP template to solicit vending bids that apply purchase-psychology research to event audiences. The seven-driver framework below is grounded in established behavioral-economics research (anchoring, scarcity, hedonic adaptation, social proof, mental accounting, default bias, loss aversion). Operator must demonstrate how each driver is operationalized in their merchandising plan.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Venue + event mix: </w:t>
      </w:r>
      <w:r>
        <w:t xml:space="preserve">(stadium / arena / theater / festival — specify event types, attendance, dwell time, demographic mix)</w:t>
      </w:r>
    </w:p>
    <w:p>
      <w:pPr>
        <w:spacing w:after="120"/>
      </w:pPr>
      <w:r>
        <w:rPr>
          <w:b/>
          <w:bCs/>
          <w:color w:val="111827"/>
        </w:rPr>
        <w:t xml:space="preserve">Audience archetype: </w:t>
      </w:r>
      <w:r>
        <w:t xml:space="preserve">Specify primary archetype(s): family, premium, hardcore-fan, convention-business, brand-experience. Audience archetype drives driver weighting.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3 years initial with quarterly merchandising-psychology review.</w:t>
      </w:r>
    </w:p>
    <w:p>
      <w:pPr>
        <w:spacing w:after="120"/>
      </w:pPr>
      <w:r>
        <w:rPr>
          <w:b/>
          <w:bCs/>
          <w:color w:val="111827"/>
        </w:rPr>
        <w:t xml:space="preserve">KPI focus: </w:t>
      </w:r>
      <w:r>
        <w:t xml:space="preserve">Revenue per visitor (RPV), units per transaction (UPT), attach rate, cashless conversion.</w:t>
      </w:r>
    </w:p>
    <w:p>
      <w:pPr>
        <w:pStyle w:val="Heading1"/>
        <w:spacing w:after="150" w:before="300"/>
      </w:pPr>
      <w:r>
        <w:t xml:space="preserve">2. Seven-driver framework</w:t>
      </w:r>
    </w:p>
    <w:p>
      <w:pPr>
        <w:spacing w:after="200"/>
      </w:pPr>
      <w:r>
        <w:t xml:space="preserve">Operator describes how each driver is executed. Operators with shallow execution ("we have signage") score lower than operators with measurable execution detail. Capability framing throughout.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Driver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response required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Anchoring (Tversky &amp; Kahneman, 1974)</w:t>
            </w:r>
          </w:p>
        </w:tc>
        <w:tc>
          <w:p>
            <w:r>
              <w:t xml:space="preserve">Price-ladder structure with high-anchor SKU (typically the $25 luxury item at a VIP machine; the $12 premium snack at a club-level machine). Mid-tier capture rate target.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Scarcity / limited-time</w:t>
            </w:r>
          </w:p>
        </w:tc>
        <w:tc>
          <w:p>
            <w:r>
              <w:t xml:space="preserve">Event-themed limited-edition SKUs, sponsor exclusives, or playoff-only items. Signage callout language. Frequency of rotation.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Hedonic adaptation</w:t>
            </w:r>
          </w:p>
        </w:tc>
        <w:tc>
          <w:p>
            <w:r>
              <w:t xml:space="preserve">Why audiences pay more in-venue: separation from baseline ‘home’ context. Operator's framing language on signage (event-themed copy, sponsor tie-ins).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Social proof</w:t>
            </w:r>
          </w:p>
        </w:tc>
        <w:tc>
          <w:p>
            <w:r>
              <w:t xml:space="preserve">‘Best seller’ or ‘top pick’ shelf-talker; digital sidekick rotation of trending SKUs. Equipment must support dynamic shelf labels.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Mental accounting (Thaler, 1985)</w:t>
            </w:r>
          </w:p>
        </w:tc>
        <w:tc>
          <w:p>
            <w:r>
              <w:t xml:space="preserve">Bundling architecture so the buyer perceives a single ‘event experience’ purchase rather than itemized cost. Combo pricing typically 10-15% below sum-of-parts.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Default bias</w:t>
            </w:r>
          </w:p>
        </w:tc>
        <w:tc>
          <w:p>
            <w:r>
              <w:t xml:space="preserve">Cashless as default — touch-first UI, Apple Pay / Google Pay surfaced before cash slot. Industry data shows default cashless drives 15-25% higher avg ticket.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Loss aversion</w:t>
            </w:r>
          </w:p>
        </w:tc>
        <w:tc>
          <w:p>
            <w:r>
              <w:t xml:space="preserve">Membership / loyalty cashback at machine; sponsor co-branded points that expire at event end. Equipment + payment integration to support.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Zone-specific design</w:t>
      </w:r>
    </w:p>
    <w:p>
      <w:pPr>
        <w:spacing w:after="200"/>
      </w:pPr>
      <w:r>
        <w:t xml:space="preserve">Driver weighting shifts by zone because audience mindset shifts. Operator must describe driver weighting per zone.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Dominant audience state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Top 3 drivers</w:t>
            </w:r>
          </w:p>
        </w:tc>
      </w:tr>
      <w:tr>
        <w:tc>
          <w:p>
            <w:r>
              <w:t xml:space="preserve">Entry concourse (pre-event)</w:t>
            </w:r>
          </w:p>
        </w:tc>
        <w:tc>
          <w:p>
            <w:r>
              <w:t xml:space="preserve">Anticipation, time pressure</w:t>
            </w:r>
          </w:p>
        </w:tc>
        <w:tc>
          <w:p>
            <w:r>
              <w:t xml:space="preserve">Default bias, social proof, scarcity</w:t>
            </w:r>
          </w:p>
        </w:tc>
      </w:tr>
      <w:tr>
        <w:tc>
          <w:p>
            <w:r>
              <w:t xml:space="preserve">Main concourse (mid-event)</w:t>
            </w:r>
          </w:p>
        </w:tc>
        <w:tc>
          <w:p>
            <w:r>
              <w:t xml:space="preserve">Hedonic peak, hunger, queue tolerance high</w:t>
            </w:r>
          </w:p>
        </w:tc>
        <w:tc>
          <w:p>
            <w:r>
              <w:t xml:space="preserve">Hedonic adaptation, anchoring, mental accounting (bundles)</w:t>
            </w:r>
          </w:p>
        </w:tc>
      </w:tr>
      <w:tr>
        <w:tc>
          <w:p>
            <w:r>
              <w:t xml:space="preserve">Club / premium</w:t>
            </w:r>
          </w:p>
        </w:tc>
        <w:tc>
          <w:p>
            <w:r>
              <w:t xml:space="preserve">Status signaling, lower price elasticity</w:t>
            </w:r>
          </w:p>
        </w:tc>
        <w:tc>
          <w:p>
            <w:r>
              <w:t xml:space="preserve">Anchoring (high-end SKU), social proof, scarcity (exclusives)</w:t>
            </w:r>
          </w:p>
        </w:tc>
      </w:tr>
      <w:tr>
        <w:tc>
          <w:p>
            <w:r>
              <w:t xml:space="preserve">VIP / suite</w:t>
            </w:r>
          </w:p>
        </w:tc>
        <w:tc>
          <w:p>
            <w:r>
              <w:t xml:space="preserve">Concierge expectation, very low price elasticity</w:t>
            </w:r>
          </w:p>
        </w:tc>
        <w:tc>
          <w:p>
            <w:r>
              <w:t xml:space="preserve">Anchoring, scarcity (limited edition), loss aversion (loyalty)</w:t>
            </w:r>
          </w:p>
        </w:tc>
      </w:tr>
      <w:tr>
        <w:tc>
          <w:p>
            <w:r>
              <w:t xml:space="preserve">Exit + post-event</w:t>
            </w:r>
          </w:p>
        </w:tc>
        <w:tc>
          <w:p>
            <w:r>
              <w:t xml:space="preserve">Re-rationalization, tiredness, family-care</w:t>
            </w:r>
          </w:p>
        </w:tc>
        <w:tc>
          <w:p>
            <w:r>
              <w:t xml:space="preserve">Default bias, mental accounting (combo for the road), loss aversion (use points before expiry)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Pricing structure</w:t>
      </w:r>
    </w:p>
    <w:p>
      <w:pPr>
        <w:spacing w:after="60" w:before="120"/>
      </w:pPr>
      <w:r>
        <w:rPr>
          <w:b/>
          <w:bCs/>
        </w:rPr>
        <w:t xml:space="preserve">1. Anchor SKU per zone</w:t>
      </w:r>
    </w:p>
    <w:p>
      <w:pPr>
        <w:spacing w:after="120"/>
      </w:pPr>
      <w:r>
        <w:t xml:space="preserve">Operator selects 1-2 anchor SKUs per zone priced at the top of the ladder. Anchor target velocity 5-15% of total units; it does not need to sell heavily — it must frame perception of mid-tier.</w:t>
      </w:r>
    </w:p>
    <w:p>
      <w:pPr>
        <w:spacing w:after="60" w:before="120"/>
      </w:pPr>
      <w:r>
        <w:rPr>
          <w:b/>
          <w:bCs/>
        </w:rPr>
        <w:t xml:space="preserve">2. Mid-tier dominance</w:t>
      </w:r>
    </w:p>
    <w:p>
      <w:pPr>
        <w:spacing w:after="120"/>
      </w:pPr>
      <w:r>
        <w:t xml:space="preserve">Mid-tier SKUs target 50-65% of unit velocity. These are the operator's margin engine.</w:t>
      </w:r>
    </w:p>
    <w:p>
      <w:pPr>
        <w:spacing w:after="60" w:before="120"/>
      </w:pPr>
      <w:r>
        <w:rPr>
          <w:b/>
          <w:bCs/>
        </w:rPr>
        <w:t xml:space="preserve">3. Bundle architecture</w:t>
      </w:r>
    </w:p>
    <w:p>
      <w:pPr>
        <w:spacing w:after="120"/>
      </w:pPr>
      <w:r>
        <w:t xml:space="preserve">At least 3 bundles per zone (drink + snack, premium pair, family pack). Equipment must support combo-discount logic.</w:t>
      </w:r>
    </w:p>
    <w:p>
      <w:pPr>
        <w:spacing w:after="60" w:before="120"/>
      </w:pPr>
      <w:r>
        <w:rPr>
          <w:b/>
          <w:bCs/>
        </w:rPr>
        <w:t xml:space="preserve">4. Dynamic pricing rules</w:t>
      </w:r>
    </w:p>
    <w:p>
      <w:pPr>
        <w:spacing w:after="120"/>
      </w:pPr>
      <w:r>
        <w:t xml:space="preserve">Operator describes whether telemetry-driven dynamic pricing is used (e.g., last-30-minutes-of-event light discount on cold-chain TCS to reduce waste). Compliance with venue pricing approval required.</w:t>
      </w:r>
    </w:p>
    <w:p>
      <w:pPr>
        <w:pStyle w:val="Heading1"/>
        <w:spacing w:after="150" w:before="300"/>
      </w:pPr>
      <w:r>
        <w:t xml:space="preserve">5. Scoring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p>
            <w:r>
              <w:t xml:space="preserve">Seven-driver response quality (Section 2)</w:t>
            </w:r>
          </w:p>
        </w:tc>
        <w:tc>
          <w:p>
            <w:r>
              <w:t xml:space="preserve">35%</w:t>
            </w:r>
          </w:p>
        </w:tc>
      </w:tr>
      <w:tr>
        <w:tc>
          <w:p>
            <w:r>
              <w:t xml:space="preserve">Zone-specific weighting (Section 3)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Pricing structure rigor (Section 4)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Equipment + telemetry support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Reporting + measurement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Pricing transparency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Insurance + bonding</w:t>
            </w:r>
          </w:p>
        </w:tc>
        <w:tc>
          <w:p>
            <w:r>
              <w:t xml:space="preserve">5%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Reporting + measurement</w:t>
      </w:r>
    </w:p>
    <w:p>
      <w:pPr>
        <w:spacing w:after="120"/>
      </w:pPr>
      <w:r>
        <w:rPr>
          <w:b/>
          <w:bCs/>
          <w:color w:val="111827"/>
        </w:rPr>
        <w:t xml:space="preserve">Per-event flash report: </w:t>
      </w:r>
      <w:r>
        <w:t xml:space="preserve">RPV, UPT, attach rate, anchor SKU velocity, bundle attach, cashless mix — within 24 hours of event.</w:t>
      </w:r>
    </w:p>
    <w:p>
      <w:pPr>
        <w:spacing w:after="120"/>
      </w:pPr>
      <w:r>
        <w:rPr>
          <w:b/>
          <w:bCs/>
          <w:color w:val="111827"/>
        </w:rPr>
        <w:t xml:space="preserve">Monthly: </w:t>
      </w:r>
      <w:r>
        <w:t xml:space="preserve">Driver-by-driver effectiveness (e.g., did the high anchor frame mid-tier sales? did social-proof shelf-talker drive trending SKU?).</w:t>
      </w:r>
    </w:p>
    <w:p>
      <w:pPr>
        <w:spacing w:after="120"/>
      </w:pPr>
      <w:r>
        <w:rPr>
          <w:b/>
          <w:bCs/>
          <w:color w:val="111827"/>
        </w:rPr>
        <w:t xml:space="preserve">Quarterly: </w:t>
      </w:r>
      <w:r>
        <w:t xml:space="preserve">QBR with venue marketing + F&amp;B; A/B test results on signage and price-ladder variants.</w:t>
      </w:r>
    </w:p>
    <w:p>
      <w:pPr>
        <w:spacing w:after="120"/>
      </w:pPr>
      <w:r>
        <w:rPr>
          <w:b/>
          <w:bCs/>
          <w:color w:val="111827"/>
        </w:rPr>
        <w:t xml:space="preserve">Annual: </w:t>
      </w:r>
      <w:r>
        <w:t xml:space="preserve">Year-over-year RPV, audience-archetype effectiveness, recommendation for next-year merchandising-psychology plan.</w:t>
      </w:r>
    </w:p>
    <w:p>
      <w:pPr>
        <w:pStyle w:val="Heading1"/>
        <w:spacing w:after="150" w:before="300"/>
      </w:pPr>
      <w:r>
        <w:t xml:space="preserve">7.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seven-driver response (Section 2) for a comparable venue (capability framing — describe execution, not anchor venues).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zone-by-driver weighting matrix (Section 3).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price-ladder per zone with anchor + mid-tier + bundle structure.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A/B test result deck.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 per venue standard.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venue marketing / F&amp;B contacts (last 24 months).</w:t>
      </w:r>
    </w:p>
    <w:p>
      <w:pPr>
        <w:pStyle w:val="Heading1"/>
        <w:spacing w:after="150" w:before="300"/>
      </w:pPr>
      <w:r>
        <w:t xml:space="preserve">8.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 days)</w:t>
      </w:r>
    </w:p>
    <w:p>
      <w:pPr>
        <w:spacing w:after="120"/>
      </w:pPr>
      <w:r>
        <w:rPr>
          <w:b/>
          <w:bCs/>
          <w:color w:val="111827"/>
        </w:rPr>
        <w:t xml:space="preserve">Q&amp;A window: </w:t>
      </w:r>
      <w:r>
        <w:t xml:space="preserve">10 business days; written distribution to all bidders.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45-60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venue procurement counsel before issue. Behavioral-economics references (Tversky &amp; Kahneman 1974; Thaler 1985) are cited for framework grounding; specific application to your venue requires audience-segment validation.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Event-Audience Vending Psychology RFP Template</dc:title>
  <dc:creator>LetUsVending</dc:creator>
  <dc:description>Seven-driver framework, zone-specific design, pricing structure, and operator scoring</dc:description>
  <cp:lastModifiedBy>Un-named</cp:lastModifiedBy>
  <cp:revision>1</cp:revision>
  <dcterms:created xsi:type="dcterms:W3CDTF">2026-05-17T13:18:07.890Z</dcterms:created>
  <dcterms:modified xsi:type="dcterms:W3CDTF">2026-05-17T13:18:07.890Z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