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School Vending Compliance Verification Checklist</w:t>
      </w:r>
    </w:p>
    <w:p>
      <w:pPr>
        <w:spacing w:after="200"/>
      </w:pPr>
      <w:r>
        <w:rPr>
          <w:i/>
          <w:iCs/>
          <w:color w:val="6B7280"/>
        </w:rPr>
        <w:t xml:space="preserve">USDA Smart Snacks 7 CFR 210.11 + state overlays + Administrative Review audit prep</w:t>
      </w:r>
    </w:p>
    <w:p>
      <w:pPr>
        <w:spacing w:after="300"/>
      </w:pPr>
      <w:r>
        <w:t xml:space="preserve">K-12 schools participating in the National School Lunch Program must verify that every SKU sold during the school day (midnight to 30 minutes after the last bell, 7 CFR 210.11(b)) meets Smart Snacks nutrition standards. State agencies frequently add overlays — California SB 12/19, Texas Public School Nutrition Policy, New York Part 135, Massachusetts 105 CMR 225. This checklist gives the SFA director and procurement officer a per-machine, per-semester audit trail.</w:t>
      </w:r>
    </w:p>
    <w:p>
      <w:pPr>
        <w:pStyle w:val="Heading1"/>
        <w:spacing w:after="150" w:before="300"/>
      </w:pPr>
      <w:r>
        <w:t xml:space="preserve">1. Smart Snacks nutrition verification — per SKU</w:t>
      </w:r>
    </w:p>
    <w:p>
      <w:pPr>
        <w:spacing w:after="200"/>
      </w:pPr>
      <w:r>
        <w:t xml:space="preserve">Use the Alliance for a Healthier Generation Smart Snacks Product Calculator (or equivalent) to verify every facing in every machine. Print or screenshot results; retain for 3 years per 7 CFR 210.18(o).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Calories: snack/side ≤ 200 cal; entrée ≤ 350 cal.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Sodium: snack ≤ 200 mg; entrée ≤ 480 mg.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Total fat ≤ 35% of calories.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Saturated fat &lt; 10% of calories.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Trans fat 0 g (per Nutrition Facts label rounding rules).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Total sugar ≤ 35% by weight.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First ingredient is fruit, vegetable, dairy, protein, or whole grain (or combination foods meeting standards).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Product Calculator screenshot dated within 60 days on file for every SKU.</w:t>
      </w:r>
    </w:p>
    <w:p>
      <w:pPr>
        <w:pStyle w:val="Heading1"/>
        <w:spacing w:after="150" w:before="300"/>
      </w:pPr>
      <w:r>
        <w:t xml:space="preserve">2. Beverage standards — by grade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Grade band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Allowed beverages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Max portion</w:t>
            </w:r>
          </w:p>
        </w:tc>
      </w:tr>
      <w:tr>
        <w:tc>
          <w:p>
            <w:r>
              <w:t xml:space="preserve">Elementary (K-5)</w:t>
            </w:r>
          </w:p>
        </w:tc>
        <w:tc>
          <w:p>
            <w:r>
              <w:t xml:space="preserve">Water (no calorie/portion limit), low-fat/fat-free milk, 100% juice (no added sweeteners)</w:t>
            </w:r>
          </w:p>
        </w:tc>
        <w:tc>
          <w:p>
            <w:r>
              <w:t xml:space="preserve">Milk 8 oz; juice 8 oz</w:t>
            </w:r>
          </w:p>
        </w:tc>
      </w:tr>
      <w:tr>
        <w:tc>
          <w:p>
            <w:r>
              <w:t xml:space="preserve">Middle (6-8)</w:t>
            </w:r>
          </w:p>
        </w:tc>
        <w:tc>
          <w:p>
            <w:r>
              <w:t xml:space="preserve">Same as elementary</w:t>
            </w:r>
          </w:p>
        </w:tc>
        <w:tc>
          <w:p>
            <w:r>
              <w:t xml:space="preserve">Milk 12 oz; juice 12 oz</w:t>
            </w:r>
          </w:p>
        </w:tc>
      </w:tr>
      <w:tr>
        <w:tc>
          <w:p>
            <w:r>
              <w:t xml:space="preserve">High (9-12)</w:t>
            </w:r>
          </w:p>
        </w:tc>
        <w:tc>
          <w:p>
            <w:r>
              <w:t xml:space="preserve">Water, milk, 100% juice, calorie-free flavored water, lower-calorie beverages (≤ 60 cal / 12 oz or ≤ 40 cal / 8 oz)</w:t>
            </w:r>
          </w:p>
        </w:tc>
        <w:tc>
          <w:p>
            <w:r>
              <w:t xml:space="preserve">Milk 12 oz; juice 12 oz; flavored water 20 oz; lower-cal 12 oz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State overlay verification</w:t>
      </w:r>
    </w:p>
    <w:p>
      <w:pPr>
        <w:spacing w:after="200"/>
      </w:pPr>
      <w:r>
        <w:t xml:space="preserve">Several states apply standards stricter than federal Smart Snacks. Verify state code at policy adoption and at each triennial assessment.</w:t>
      </w:r>
    </w:p>
    <w:p>
      <w:pPr>
        <w:spacing w:after="120"/>
      </w:pPr>
      <w:r>
        <w:rPr>
          <w:b/>
          <w:bCs/>
          <w:color w:val="111827"/>
        </w:rPr>
        <w:t xml:space="preserve">California (SB 12 / SB 19 / EC 49431-49431.7): </w:t>
      </w:r>
      <w:r>
        <w:t xml:space="preserve">Beverage restrictions stricter than federal; competitive food caloric/fat limits stricter for elementary and middle; verify with CDE Nutrition Services.</w:t>
      </w:r>
    </w:p>
    <w:p>
      <w:pPr>
        <w:spacing w:after="120"/>
      </w:pPr>
      <w:r>
        <w:rPr>
          <w:b/>
          <w:bCs/>
          <w:color w:val="111827"/>
        </w:rPr>
        <w:t xml:space="preserve">Texas (Public School Nutrition Policy / 19 TAC §61.1015): </w:t>
      </w:r>
      <w:r>
        <w:t xml:space="preserve">FMNV (Foods of Minimal Nutritional Value) restrictions during school day; portion limits by grade.</w:t>
      </w:r>
    </w:p>
    <w:p>
      <w:pPr>
        <w:spacing w:after="120"/>
      </w:pPr>
      <w:r>
        <w:rPr>
          <w:b/>
          <w:bCs/>
          <w:color w:val="111827"/>
        </w:rPr>
        <w:t xml:space="preserve">New York (8 NYCRR §114; Part 135): </w:t>
      </w:r>
      <w:r>
        <w:t xml:space="preserve">No carbonated beverages at elementary; portion limits at middle/high.</w:t>
      </w:r>
    </w:p>
    <w:p>
      <w:pPr>
        <w:spacing w:after="120"/>
      </w:pPr>
      <w:r>
        <w:rPr>
          <w:b/>
          <w:bCs/>
          <w:color w:val="111827"/>
        </w:rPr>
        <w:t xml:space="preserve">Massachusetts (105 CMR 225): </w:t>
      </w:r>
      <w:r>
        <w:t xml:space="preserve">Competitive food standards stricter than federal; reviewed by MDPH.</w:t>
      </w:r>
    </w:p>
    <w:p>
      <w:pPr>
        <w:spacing w:after="120"/>
      </w:pPr>
      <w:r>
        <w:rPr>
          <w:b/>
          <w:bCs/>
          <w:color w:val="111827"/>
        </w:rPr>
        <w:t xml:space="preserve">Other states: </w:t>
      </w:r>
      <w:r>
        <w:t xml:space="preserve">Check state department of education + state department of health; many states adopt federal floor with no overlay.</w:t>
      </w:r>
    </w:p>
    <w:p>
      <w:pPr>
        <w:pStyle w:val="Heading1"/>
        <w:spacing w:after="150" w:before="300"/>
      </w:pPr>
      <w:r>
        <w:t xml:space="preserve">4. Marketing + signage compliance — 7 CFR 210.31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wraps, vinyls, and exterior branding feature only Smart-Snacks-compliant products.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Scoreboards, gymnasium signage, cups, school-sponsored posters compliant.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Coupons, point-of-sale promotional materials compliant during the school day.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Brand-only marketing (no specific non-compliant product) permitted but documented for SA review.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marketing audit log retained; non-compliant items removed within 7 days of identification.</w:t>
      </w:r>
    </w:p>
    <w:p>
      <w:pPr>
        <w:pStyle w:val="Heading1"/>
        <w:spacing w:after="150" w:before="300"/>
      </w:pPr>
      <w:r>
        <w:t xml:space="preserve">5. Allergen + nutrition labeling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labeling per FALCPA (21 U.S.C. 343) on each facing — Big 9 allergens (incl. sesame, FASTER Act 2021).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Calorie disclosure per FDA 21 CFR 101.8 (Menu Labeling Rule) for chains with 20+ machines under common ownership.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Nutrition Facts panel visible on the SKU or via on-machine QR / printed sheet.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summary signage on machine face for high-traffic placements.</w:t>
      </w:r>
    </w:p>
    <w:p>
      <w:pPr>
        <w:pStyle w:val="Heading1"/>
        <w:spacing w:after="150" w:before="300"/>
      </w:pPr>
      <w:r>
        <w:t xml:space="preserve">6. Operating window + after-school programs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School day defined: midnight before through 30 minutes after the official end of the school day — Smart Snacks applies through this window.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After-school programs participating in Afterschool Snack Service: snacks meet NSLP afterschool snack standards (7 CFR 210.10(o)).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After-school programs in CACFP: meals/snacks meet CACFP standards (7 CFR 226.20).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Evening events (sports, fundraisers, PTA): Smart Snacks does not apply; state fundraiser exemption rules verified (often limited number per year).</w:t>
      </w:r>
    </w:p>
    <w:p>
      <w:pPr>
        <w:pStyle w:val="Heading1"/>
        <w:spacing w:after="150" w:before="300"/>
      </w:pPr>
      <w:r>
        <w:t xml:space="preserve">7. Audit + documentation retention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Per-machine planogram with photos refreshed monthly; retained 3 years.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Smart Snacks attestation signed each semester; SKU list dated.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Product Calculator output retained for every SKU; refreshed when SKU changes formulation.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Marketing inventory + audit log retained 3 years.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Triennial wellness policy assessment retained permanently in district records.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SFA director + designated wellness official named and reachable; copy in procurement file.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advice. Confirm SKU compliance via the Smart Snacks Product Calculator and verify state overlays with the State Agency. LetUsVending is equipped to coordinate Smart-Snacks-aligned operators and per-semester audit packets for K-12 placements.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Vending Compliance Verification Checklist</dc:title>
  <dc:creator>LetUsVending</dc:creator>
  <dc:description>USDA Smart Snacks 7 CFR 210.11 + state overlays + Administrative Review audit prep</dc:description>
  <cp:lastModifiedBy>Un-named</cp:lastModifiedBy>
  <cp:revision>1</cp:revision>
  <dcterms:created xsi:type="dcterms:W3CDTF">2026-05-17T13:18:08.517Z</dcterms:created>
  <dcterms:modified xsi:type="dcterms:W3CDTF">2026-05-17T13:18:08.519Z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