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Venue Vending Sound + Light Experience RFP Template</w:t>
      </w:r>
    </w:p>
    <w:p>
      <w:pPr>
        <w:spacing w:after="200"/>
      </w:pPr>
      <w:r>
        <w:rPr>
          <w:i/>
          <w:iCs/>
          <w:color w:val="6B7280"/>
        </w:rPr>
        <w:t xml:space="preserve">Six-category design, sensory accommodation protocol, OSHA compliance, and operator scoring</w:t>
      </w:r>
    </w:p>
    <w:p>
      <w:pPr>
        <w:spacing w:after="300"/>
      </w:pPr>
      <w:r>
        <w:t xml:space="preserve">Use this RFP template to solicit vending bids where machines incorporate sound, light, motion, or interactive sensory elements (illuminated wraps, sound triggers, motion-activated digital sidekicks, AR/QR integrations). The template specifies the six experience categories, the sensory-accommodation protocol required for accessibility, and the OSHA compliance posture for staff working near amplified-sound and high-illumination installations.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rPr>
          <w:b/>
          <w:bCs/>
          <w:color w:val="111827"/>
        </w:rPr>
        <w:t xml:space="preserve">Venue + event mix: </w:t>
      </w:r>
      <w:r>
        <w:t xml:space="preserve">(stadium / arena / theater / convention / experiential brand activation — specify capacity, event types)</w:t>
      </w:r>
    </w:p>
    <w:p>
      <w:pPr>
        <w:spacing w:after="120"/>
      </w:pPr>
      <w:r>
        <w:rPr>
          <w:b/>
          <w:bCs/>
          <w:color w:val="111827"/>
        </w:rPr>
        <w:t xml:space="preserve">Machine count + placements: </w:t>
      </w:r>
      <w:r>
        <w:t xml:space="preserve">Specify zones and indicate which categories of sensory experience apply to each placement. Capability framing — describe environment, not anchor venues.</w:t>
      </w:r>
    </w:p>
    <w:p>
      <w:pPr>
        <w:spacing w:after="120"/>
      </w:pPr>
      <w:r>
        <w:rPr>
          <w:b/>
          <w:bCs/>
          <w:color w:val="111827"/>
        </w:rPr>
        <w:t xml:space="preserve">Contract term: </w:t>
      </w:r>
      <w:r>
        <w:t xml:space="preserve">2-4 year initial with annual capability refresh (sensory-content + firmware).</w:t>
      </w:r>
    </w:p>
    <w:p>
      <w:pPr>
        <w:spacing w:after="120"/>
      </w:pPr>
      <w:r>
        <w:rPr>
          <w:b/>
          <w:bCs/>
          <w:color w:val="111827"/>
        </w:rPr>
        <w:t xml:space="preserve">Power + data: </w:t>
      </w:r>
      <w:r>
        <w:t xml:space="preserve">Operator specifies power draw, data connection (cellular vs. venue WAN), and any audio routing requirements.</w:t>
      </w:r>
    </w:p>
    <w:p>
      <w:pPr>
        <w:pStyle w:val="Heading1"/>
        <w:spacing w:after="150" w:before="300"/>
      </w:pPr>
      <w:r>
        <w:t xml:space="preserve">2. Six experience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Illuminated front face</w:t>
            </w:r>
          </w:p>
        </w:tc>
        <w:tc>
          <w:p>
            <w:r>
              <w:t xml:space="preserve">LED-backlit translucent vinyl with diffuser; UL 60950 or UL 8750 listed; ENERGY STAR-class lighting; CCT specified per venue (typically 3000K-4000K). Brightness adjustable for circadian and audience-comfort tuning.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Edge / accent lighting</w:t>
            </w:r>
          </w:p>
        </w:tc>
        <w:tc>
          <w:p>
            <w:r>
              <w:t xml:space="preserve">RGB or programmable warm-white edge lighting on machine perimeter; dimmable; DMX or proprietary CMS-controllable for event-themed scenes.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Sound triggers</w:t>
            </w:r>
          </w:p>
        </w:tc>
        <w:tc>
          <w:p>
            <w:r>
              <w:t xml:space="preserve">Sub-70 dBA peak at 3 ft per ANSI/ASA S12.2 for ambient placements; sub-85 dBA short-burst on transaction confirmation. Mute / accessibility-mode required (see Section 3).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Motion-activated digital sidekick</w:t>
            </w:r>
          </w:p>
        </w:tc>
        <w:tc>
          <w:p>
            <w:r>
              <w:t xml:space="preserve">21"-32" commercial-grade display; motion sensor triggers contextual content when audience approaches. UL 60950 listed.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AR / QR / NFC integration</w:t>
            </w:r>
          </w:p>
        </w:tc>
        <w:tc>
          <w:p>
            <w:r>
              <w:t xml:space="preserve">Tap or scan triggers branded landing page, AR overlay, or sweepstakes. NFC ISO/IEC 14443 standard; tag durability rated for 100,000+ taps.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Interactive cabinet (touch / gesture)</w:t>
            </w:r>
          </w:p>
        </w:tc>
        <w:tc>
          <w:p>
            <w:r>
              <w:t xml:space="preserve">Touchscreen front overlay or gesture-camera selection. Touchscreen complies with Section 308 reach range; gesture interface offers tactile-button fallback per ADA 309.4.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Sensory-accommodation protocol</w:t>
      </w:r>
    </w:p>
    <w:p>
      <w:pPr>
        <w:spacing w:after="200"/>
      </w:pPr>
      <w:r>
        <w:t xml:space="preserve">Sensory installations must be accessible to audiences with sensory-processing needs (autism spectrum, photosensitive epilepsy, hearing aids, low vision). Operator must offer the following modes by default.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Mute mode: any sound trigger can be silenced at the machine (physical button or app toggle) and silenced venue-wide via CMS for sensory-friendly performances.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Reduced-motion mode: motion-activated content can be set to static during sensory-friendly events.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Photosensitive-epilepsy compliance: no flashing content at 3-30 Hz frequency per W3C WCAG 2.2 Success Criterion 2.3.1 and ITU-R BT.1702.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Lighting dimming: edge + accent lighting dimmable to 10% of peak; pre-show + sensory-friendly mode profile preset.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Hearing-aid T-coil compatibility for any speech audio (FCC Section 68.317 hearing-aid-compatible) where audio is informational rather than ambient.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Captioning for any video / spoken content on digital sidekicks; WCAG 2.2 Level AA captioning standard.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publishes a sensory-accommodation summary that venue accessibility coordinator can distribute to audiences in advance.</w:t>
      </w:r>
    </w:p>
    <w:p>
      <w:pPr>
        <w:pStyle w:val="Heading1"/>
        <w:spacing w:after="150" w:before="300"/>
      </w:pPr>
      <w:r>
        <w:t xml:space="preserve">4. OSHA + staff compliance</w:t>
      </w:r>
    </w:p>
    <w:p>
      <w:pPr>
        <w:spacing w:after="120"/>
      </w:pPr>
      <w:r>
        <w:rPr>
          <w:b/>
          <w:bCs/>
          <w:color w:val="111827"/>
        </w:rPr>
        <w:t xml:space="preserve">Noise exposure (OSHA 29 CFR 1910.95): </w:t>
      </w:r>
      <w:r>
        <w:t xml:space="preserve">Staff working &gt; 8 hours within 5 ft of machines with sustained &gt; 85 dBA require hearing-conservation program. Operator confirms ambient levels per ANSI/ASA S12.2.</w:t>
      </w:r>
    </w:p>
    <w:p>
      <w:pPr>
        <w:spacing w:after="120"/>
      </w:pPr>
      <w:r>
        <w:rPr>
          <w:b/>
          <w:bCs/>
          <w:color w:val="111827"/>
        </w:rPr>
        <w:t xml:space="preserve">Lighting safety: </w:t>
      </w:r>
      <w:r>
        <w:t xml:space="preserve">LED + edge-lighting installations must comply with IEC 62471 photobiological-safety limits; no Class 2 or higher hazard exposure to staff or audience.</w:t>
      </w:r>
    </w:p>
    <w:p>
      <w:pPr>
        <w:spacing w:after="120"/>
      </w:pPr>
      <w:r>
        <w:rPr>
          <w:b/>
          <w:bCs/>
          <w:color w:val="111827"/>
        </w:rPr>
        <w:t xml:space="preserve">Electrical (NFPA 70 / NEC): </w:t>
      </w:r>
      <w:r>
        <w:t xml:space="preserve">All wiring run in metal conduit or NEC-rated cable assemblies; GFCI on any wet-zone or exterior placement; UL 60950 / UL 62368 listed power supplies.</w:t>
      </w:r>
    </w:p>
    <w:p>
      <w:pPr>
        <w:spacing w:after="120"/>
      </w:pPr>
      <w:r>
        <w:rPr>
          <w:b/>
          <w:bCs/>
          <w:color w:val="111827"/>
        </w:rPr>
        <w:t xml:space="preserve">Egress + clearances: </w:t>
      </w:r>
      <w:r>
        <w:t xml:space="preserve">Machines + signage do not obstruct egress per IBC Chapter 10; minimum 36-inch clearance maintained in front of machine for ADA Section 305 clear floor space.</w:t>
      </w:r>
    </w:p>
    <w:p>
      <w:pPr>
        <w:spacing w:after="120"/>
      </w:pPr>
      <w:r>
        <w:rPr>
          <w:b/>
          <w:bCs/>
          <w:color w:val="111827"/>
        </w:rPr>
        <w:t xml:space="preserve">Staff training: </w:t>
      </w:r>
      <w:r>
        <w:t xml:space="preserve">Operator's on-site staff complete sensory-mode operation training; documented before first event.</w:t>
      </w:r>
    </w:p>
    <w:p>
      <w:pPr>
        <w:pStyle w:val="Heading1"/>
        <w:spacing w:after="150" w:before="300"/>
      </w:pPr>
      <w:r>
        <w:t xml:space="preserve">5. Scoring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</w:tr>
      <w:tr>
        <w:tc>
          <w:p>
            <w:r>
              <w:t xml:space="preserve">Six-category execution capability (Section 2)</w:t>
            </w:r>
          </w:p>
        </w:tc>
        <w:tc>
          <w:p>
            <w:r>
              <w:t xml:space="preserve">25%</w:t>
            </w:r>
          </w:p>
        </w:tc>
      </w:tr>
      <w:tr>
        <w:tc>
          <w:p>
            <w:r>
              <w:t xml:space="preserve">Sensory-accommodation protocol (Section 3)</w:t>
            </w:r>
          </w:p>
        </w:tc>
        <w:tc>
          <w:p>
            <w:r>
              <w:t xml:space="preserve">20%</w:t>
            </w:r>
          </w:p>
        </w:tc>
      </w:tr>
      <w:tr>
        <w:tc>
          <w:p>
            <w:r>
              <w:t xml:space="preserve">OSHA + compliance posture (Section 4)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t xml:space="preserve">CMS + content-management platform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t xml:space="preserve">Hardware durability + warranty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t xml:space="preserve">Reporting + analytics (dwell, scan, engagement)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t xml:space="preserve">Pricing transparency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t xml:space="preserve">Insurance + bonding</w:t>
            </w:r>
          </w:p>
        </w:tc>
        <w:tc>
          <w:p>
            <w:r>
              <w:t xml:space="preserve">5%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Required attachments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Portfolio: 3+ comparable sensory installations (capability framing — describe install scale and category mix, not anchor venues).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UL / IEC / ANSI compliance documentation per Section 4.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Sensory-accommodation summary sheet venue can distribute pre-event.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CMS platform demo (Stratacache, BrightSign, Enplug, or comparable).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Sample dwell + engagement analytics report.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Insurance certificate, $5M GL minimum given experiential-equipment risk.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References: 3 venue marketing / F&amp;B / accessibility contacts (last 24 months).</w:t>
      </w:r>
    </w:p>
    <w:p>
      <w:pPr>
        <w:pStyle w:val="Heading1"/>
        <w:spacing w:after="150" w:before="300"/>
      </w:pPr>
      <w:r>
        <w:t xml:space="preserve">7. Submission instructions</w:t>
      </w:r>
    </w:p>
    <w:p>
      <w:pPr>
        <w:spacing w:after="120"/>
      </w:pPr>
      <w:r>
        <w:rPr>
          <w:b/>
          <w:bCs/>
          <w:color w:val="111827"/>
        </w:rPr>
        <w:t xml:space="preserve">Format: </w:t>
      </w:r>
      <w:r>
        <w:t xml:space="preserve">PDF response, with appendix for sample sensory profile, CMS demo video link, and compliance documentation.</w:t>
      </w:r>
    </w:p>
    <w:p>
      <w:pPr>
        <w:spacing w:after="120"/>
      </w:pPr>
      <w:r>
        <w:rPr>
          <w:b/>
          <w:bCs/>
          <w:color w:val="111827"/>
        </w:rPr>
        <w:t xml:space="preserve">Due date: </w:t>
      </w:r>
      <w:r>
        <w:t xml:space="preserve">(specify — typically 30-45 days given complexity)</w:t>
      </w:r>
    </w:p>
    <w:p>
      <w:pPr>
        <w:spacing w:after="120"/>
      </w:pPr>
      <w:r>
        <w:rPr>
          <w:b/>
          <w:bCs/>
          <w:color w:val="111827"/>
        </w:rPr>
        <w:t xml:space="preserve">Pre-bid demo: </w:t>
      </w:r>
      <w:r>
        <w:t xml:space="preserve">Operator demonstrates a single working machine with all six categories, or provides a recorded demo if travel infeasible.</w:t>
      </w:r>
    </w:p>
    <w:p>
      <w:pPr>
        <w:spacing w:after="120"/>
      </w:pPr>
      <w:r>
        <w:rPr>
          <w:b/>
          <w:bCs/>
          <w:color w:val="111827"/>
        </w:rPr>
        <w:t xml:space="preserve">Award: </w:t>
      </w:r>
      <w:r>
        <w:t xml:space="preserve">(specify — typically 45-60 days)</w:t>
      </w:r>
    </w:p>
    <w:p>
      <w:pPr>
        <w:spacing w:before="400"/>
      </w:pPr>
      <w:r>
        <w:rPr>
          <w:i/>
          <w:iCs/>
          <w:color w:val="6B7280"/>
        </w:rPr>
        <w:t xml:space="preserve">Informational template — engage venue procurement, accessibility coordinator, and risk counsel before issue. Sensory-accommodation requirements are governed by ADA Title III and venue policy; some jurisdictions exceed federal minimums.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Venue Vending Sound + Light Experience RFP Template</dc:title>
  <dc:creator>LetUsVending</dc:creator>
  <dc:description>Six-category design, sensory accommodation protocol, OSHA compliance, and operator scoring</dc:description>
  <cp:lastModifiedBy>Un-named</cp:lastModifiedBy>
  <cp:revision>1</cp:revision>
  <dcterms:created xsi:type="dcterms:W3CDTF">2026-05-17T13:18:09.450Z</dcterms:created>
  <dcterms:modified xsi:type="dcterms:W3CDTF">2026-05-17T13:18:09.451Z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