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Specialty Public-Facility Vending RFP Template</w:t>
      </w:r>
    </w:p>
    <w:p>
      <w:pPr>
        <w:spacing w:after="200"/>
      </w:pPr>
      <w:r>
        <w:rPr>
          <w:i/>
          <w:iCs/>
          <w:color w:val="6B7280"/>
        </w:rPr>
        <w:t xml:space="preserve">Eight specialty categories, compliance overlays, and multi-category RFP framework</w:t>
      </w:r>
    </w:p>
    <w:p>
      <w:pPr>
        <w:spacing w:after="300"/>
      </w:pPr>
      <w:r>
        <w:t xml:space="preserve">Use this RFP template to solicit specialty vending bids for public facilities — bookstores, harm-reduction, hygiene, transit, OTC medicine, library, museum-merchandise, and emergency-supply. Each specialty has its own compliance overlay and SLA posture. The template lets procurement issue a single multi-category RFP rather than 8 separate solicitations.</w:t>
      </w:r>
    </w:p>
    <w:p>
      <w:pPr>
        <w:pStyle w:val="Heading1"/>
        <w:spacing w:after="150" w:before="300"/>
      </w:pPr>
      <w:r>
        <w:t xml:space="preserve">1. Project overview</w:t>
      </w:r>
    </w:p>
    <w:p>
      <w:pPr>
        <w:spacing w:after="120"/>
      </w:pPr>
      <w:r>
        <w:rPr>
          <w:b/>
          <w:bCs/>
          <w:color w:val="111827"/>
        </w:rPr>
        <w:t xml:space="preserve">Facility type + zones: </w:t>
      </w:r>
      <w:r>
        <w:t xml:space="preserve">(library / transit station / courthouse lobby / community health center / museum / civic complex — specify capacity, traffic, hours)</w:t>
      </w:r>
    </w:p>
    <w:p>
      <w:pPr>
        <w:spacing w:after="120"/>
      </w:pPr>
      <w:r>
        <w:rPr>
          <w:b/>
          <w:bCs/>
          <w:color w:val="111827"/>
        </w:rPr>
        <w:t xml:space="preserve">Categories in scope: </w:t>
      </w:r>
      <w:r>
        <w:t xml:space="preserve">Specify which of the 8 categories below are in scope; operator scopes per category.</w:t>
      </w:r>
    </w:p>
    <w:p>
      <w:pPr>
        <w:spacing w:after="120"/>
      </w:pPr>
      <w:r>
        <w:rPr>
          <w:b/>
          <w:bCs/>
          <w:color w:val="111827"/>
        </w:rPr>
        <w:t xml:space="preserve">Contract term: </w:t>
      </w:r>
      <w:r>
        <w:t xml:space="preserve">3-5 year initial with annual category-specific review.</w:t>
      </w:r>
    </w:p>
    <w:p>
      <w:pPr>
        <w:spacing w:after="120"/>
      </w:pPr>
      <w:r>
        <w:rPr>
          <w:b/>
          <w:bCs/>
          <w:color w:val="111827"/>
        </w:rPr>
        <w:t xml:space="preserve">Compliance authority: </w:t>
      </w:r>
      <w:r>
        <w:t xml:space="preserve">(specify per category — health department, FDA, OSHA, ADA, local AHJ)</w:t>
      </w:r>
    </w:p>
    <w:p>
      <w:pPr>
        <w:pStyle w:val="Heading1"/>
        <w:spacing w:after="150" w:before="300"/>
      </w:pPr>
      <w:r>
        <w:t xml:space="preserve">2. Eight specialty categories + compliance overlays</w:t>
      </w:r>
    </w:p>
    <w:p>
      <w:pPr>
        <w:spacing w:after="200"/>
      </w:pPr>
      <w:r>
        <w:t xml:space="preserve">Operator scopes each in-scope category. Capability framing — describe what operator is equipped to deliver, not anchor facility names.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Compliance overlay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Public bookstore / printed material</w:t>
            </w:r>
          </w:p>
        </w:tc>
        <w:tc>
          <w:p>
            <w:r>
              <w:t xml:space="preserve">Local library / municipal merchandising policy; sales-tax registration; Section 308 reach range for browsing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Harm reduction (Narcan, fentanyl test strips, hygiene)</w:t>
            </w:r>
          </w:p>
        </w:tc>
        <w:tc>
          <w:p>
            <w:r>
              <w:t xml:space="preserve">Local public-health authority approval; FDA Narcan OTC compliance per 2023 reclassification; staff training for re-stock; signage in 2+ languages per facility language access plan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Hygiene + personal care</w:t>
            </w:r>
          </w:p>
        </w:tc>
        <w:tc>
          <w:p>
            <w:r>
              <w:t xml:space="preserve">ADA Section 308 reach range; tamper-evident packaging per FDA 21 CFR 211.132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Transit (fare media, MetroCard / smart-card sales)</w:t>
            </w:r>
          </w:p>
        </w:tc>
        <w:tc>
          <w:p>
            <w:r>
              <w:t xml:space="preserve">Transit-authority POS integration (Cubic, Conduent, or facility vendor); PCI DSS Level 1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OTC medicine</w:t>
            </w:r>
          </w:p>
        </w:tc>
        <w:tc>
          <w:p>
            <w:r>
              <w:t xml:space="preserve">FDA OTC Monograph compliance per 21 CFR 330; expiration-date tracking; tamper-evident packaging per 21 CFR 211.132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Library specialty (study supplies, USB drives, calculators)</w:t>
            </w:r>
          </w:p>
        </w:tc>
        <w:tc>
          <w:p>
            <w:r>
              <w:t xml:space="preserve">Sales-tax registration; ADA Section 308; cabinet finish per library design standard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Museum-merchandise (limited-edition, branded)</w:t>
            </w:r>
          </w:p>
        </w:tc>
        <w:tc>
          <w:p>
            <w:r>
              <w:t xml:space="preserve">Museum revenue-share or consignment terms; cabinet finish per museum design standard; sales-tax registration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Emergency supplies (PPE, first aid, hydration)</w:t>
            </w:r>
          </w:p>
        </w:tc>
        <w:tc>
          <w:p>
            <w:r>
              <w:t xml:space="preserve">Facility emergency-management plan integration; expiration-date tracking; signage during emergency mode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3. Multi-category RFP framework</w:t>
      </w:r>
    </w:p>
    <w:p>
      <w:pPr>
        <w:spacing w:after="200"/>
      </w:pPr>
      <w:r>
        <w:t xml:space="preserve">Procurement can issue this as a single solicitation with category lots. Operators may bid on a subset of categories. Scoring is per-category, with bonus for operators demonstrating capability across multiple categories.</w:t>
      </w:r>
    </w:p>
    <w:p>
      <w:pPr>
        <w:spacing w:after="60" w:before="120"/>
      </w:pPr>
      <w:r>
        <w:rPr>
          <w:b/>
          <w:bCs/>
        </w:rPr>
        <w:t xml:space="preserve">1. Lot structure</w:t>
      </w:r>
    </w:p>
    <w:p>
      <w:pPr>
        <w:spacing w:after="120"/>
      </w:pPr>
      <w:r>
        <w:t xml:space="preserve">Each of the 8 categories is a separate lot. Operator marks per-lot bid (yes / no). Procurement may award per lot or to a single operator.</w:t>
      </w:r>
    </w:p>
    <w:p>
      <w:pPr>
        <w:spacing w:after="60" w:before="120"/>
      </w:pPr>
      <w:r>
        <w:rPr>
          <w:b/>
          <w:bCs/>
        </w:rPr>
        <w:t xml:space="preserve">2. Per-category planogram</w:t>
      </w:r>
    </w:p>
    <w:p>
      <w:pPr>
        <w:spacing w:after="120"/>
      </w:pPr>
      <w:r>
        <w:t xml:space="preserve">Operator submits planogram per bid lot. Generic planograms score lower than category-specific responses.</w:t>
      </w:r>
    </w:p>
    <w:p>
      <w:pPr>
        <w:spacing w:after="60" w:before="120"/>
      </w:pPr>
      <w:r>
        <w:rPr>
          <w:b/>
          <w:bCs/>
        </w:rPr>
        <w:t xml:space="preserve">3. Cross-category synergies</w:t>
      </w:r>
    </w:p>
    <w:p>
      <w:pPr>
        <w:spacing w:after="120"/>
      </w:pPr>
      <w:r>
        <w:t xml:space="preserve">Operator describes synergies (single restock crew, single telemetry platform, consolidated reporting) that justify multi-category award.</w:t>
      </w:r>
    </w:p>
    <w:p>
      <w:pPr>
        <w:spacing w:after="60" w:before="120"/>
      </w:pPr>
      <w:r>
        <w:rPr>
          <w:b/>
          <w:bCs/>
        </w:rPr>
        <w:t xml:space="preserve">4. Award model</w:t>
      </w:r>
    </w:p>
    <w:p>
      <w:pPr>
        <w:spacing w:after="120"/>
      </w:pPr>
      <w:r>
        <w:t xml:space="preserve">Procurement scores each lot independently; awards may go to multiple operators or one consolidated operator depending on weighted score and synergies.</w:t>
      </w:r>
    </w:p>
    <w:p>
      <w:pPr>
        <w:pStyle w:val="Heading1"/>
        <w:spacing w:after="150" w:before="300"/>
      </w:pPr>
      <w:r>
        <w:t xml:space="preserve">4. Equipment + telemetry baseline</w:t>
      </w:r>
    </w:p>
    <w:p>
      <w:pPr>
        <w:spacing w:after="120"/>
      </w:pPr>
      <w:r>
        <w:rPr>
          <w:b/>
          <w:bCs/>
          <w:color w:val="111827"/>
        </w:rPr>
        <w:t xml:space="preserve">Equipment listing: </w:t>
      </w:r>
      <w:r>
        <w:t xml:space="preserve">UL 751 (vending) or UL 60950 (digital kiosk) listed; ADA Section 308 reach range; Section 305 clear floor space.</w:t>
      </w:r>
    </w:p>
    <w:p>
      <w:pPr>
        <w:spacing w:after="120"/>
      </w:pPr>
      <w:r>
        <w:rPr>
          <w:b/>
          <w:bCs/>
          <w:color w:val="111827"/>
        </w:rPr>
        <w:t xml:space="preserve">Telemetry: </w:t>
      </w:r>
      <w:r>
        <w:t xml:space="preserve">Sub-15-minute heartbeat (Cantaloupe, Nayax, 365 Retail Markets, AWM Smart Shelf, or comparable).</w:t>
      </w:r>
    </w:p>
    <w:p>
      <w:pPr>
        <w:spacing w:after="120"/>
      </w:pPr>
      <w:r>
        <w:rPr>
          <w:b/>
          <w:bCs/>
          <w:color w:val="111827"/>
        </w:rPr>
        <w:t xml:space="preserve">Cashless: </w:t>
      </w:r>
      <w:r>
        <w:t xml:space="preserve">Apple Pay / Google Pay / NFC + chip; PCI DSS Level 1; SNAP / WIC where category warrants per USDA FNS guidance.</w:t>
      </w:r>
    </w:p>
    <w:p>
      <w:pPr>
        <w:spacing w:after="120"/>
      </w:pPr>
      <w:r>
        <w:rPr>
          <w:b/>
          <w:bCs/>
          <w:color w:val="111827"/>
        </w:rPr>
        <w:t xml:space="preserve">Refrigeration: </w:t>
      </w:r>
      <w:r>
        <w:t xml:space="preserve">Where category warrants (harm reduction, OTC liquid medicine, hydration), 35-40°F maintained per FDA 21 CFR 211.150.</w:t>
      </w:r>
    </w:p>
    <w:p>
      <w:pPr>
        <w:pStyle w:val="Heading1"/>
        <w:spacing w:after="150" w:before="300"/>
      </w:pPr>
      <w:r>
        <w:t xml:space="preserve">5. SLA framework (category-specific)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Uptime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Stockout SLA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Category-specific SLA</w:t>
            </w:r>
          </w:p>
        </w:tc>
      </w:tr>
      <w:tr>
        <w:tc>
          <w:p>
            <w:r>
              <w:t xml:space="preserve">Bookstore / library</w:t>
            </w:r>
          </w:p>
        </w:tc>
        <w:tc>
          <w:p>
            <w:r>
              <w:t xml:space="preserve">95%</w:t>
            </w:r>
          </w:p>
        </w:tc>
        <w:tc>
          <w:p>
            <w:r>
              <w:t xml:space="preserve">72 hours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Harm reduction</w:t>
            </w:r>
          </w:p>
        </w:tc>
        <w:tc>
          <w:p>
            <w:r>
              <w:t xml:space="preserve">98%</w:t>
            </w:r>
          </w:p>
        </w:tc>
        <w:tc>
          <w:p>
            <w:r>
              <w:t xml:space="preserve">12 hours</w:t>
            </w:r>
          </w:p>
        </w:tc>
        <w:tc>
          <w:p>
            <w:r>
              <w:t xml:space="preserve">Narcan expiration check at every restock</w:t>
            </w:r>
          </w:p>
        </w:tc>
      </w:tr>
      <w:tr>
        <w:tc>
          <w:p>
            <w:r>
              <w:t xml:space="preserve">Hygiene</w:t>
            </w:r>
          </w:p>
        </w:tc>
        <w:tc>
          <w:p>
            <w:r>
              <w:t xml:space="preserve">97%</w:t>
            </w:r>
          </w:p>
        </w:tc>
        <w:tc>
          <w:p>
            <w:r>
              <w:t xml:space="preserve">48 hours</w:t>
            </w:r>
          </w:p>
        </w:tc>
        <w:tc>
          <w:p>
            <w:r>
              <w:t xml:space="preserve">Tamper-evident verification at every restock</w:t>
            </w:r>
          </w:p>
        </w:tc>
      </w:tr>
      <w:tr>
        <w:tc>
          <w:p>
            <w:r>
              <w:t xml:space="preserve">Transit (fare media)</w:t>
            </w:r>
          </w:p>
        </w:tc>
        <w:tc>
          <w:p>
            <w:r>
              <w:t xml:space="preserve">99%</w:t>
            </w:r>
          </w:p>
        </w:tc>
        <w:tc>
          <w:p>
            <w:r>
              <w:t xml:space="preserve">4 hours</w:t>
            </w:r>
          </w:p>
        </w:tc>
        <w:tc>
          <w:p>
            <w:r>
              <w:t xml:space="preserve">Transit-authority POS sync within 5 seconds</w:t>
            </w:r>
          </w:p>
        </w:tc>
      </w:tr>
      <w:tr>
        <w:tc>
          <w:p>
            <w:r>
              <w:t xml:space="preserve">OTC medicine</w:t>
            </w:r>
          </w:p>
        </w:tc>
        <w:tc>
          <w:p>
            <w:r>
              <w:t xml:space="preserve">97%</w:t>
            </w:r>
          </w:p>
        </w:tc>
        <w:tc>
          <w:p>
            <w:r>
              <w:t xml:space="preserve">24 hours</w:t>
            </w:r>
          </w:p>
        </w:tc>
        <w:tc>
          <w:p>
            <w:r>
              <w:t xml:space="preserve">FDA Monograph + expiration check at every restock</w:t>
            </w:r>
          </w:p>
        </w:tc>
      </w:tr>
      <w:tr>
        <w:tc>
          <w:p>
            <w:r>
              <w:t xml:space="preserve">Library specialty</w:t>
            </w:r>
          </w:p>
        </w:tc>
        <w:tc>
          <w:p>
            <w:r>
              <w:t xml:space="preserve">95%</w:t>
            </w:r>
          </w:p>
        </w:tc>
        <w:tc>
          <w:p>
            <w:r>
              <w:t xml:space="preserve">72 hours</w:t>
            </w:r>
          </w:p>
        </w:tc>
        <w:tc>
          <w:p>
            <w:r>
              <w:t xml:space="preserve">—</w:t>
            </w:r>
          </w:p>
        </w:tc>
      </w:tr>
      <w:tr>
        <w:tc>
          <w:p>
            <w:r>
              <w:t xml:space="preserve">Museum-merchandise</w:t>
            </w:r>
          </w:p>
        </w:tc>
        <w:tc>
          <w:p>
            <w:r>
              <w:t xml:space="preserve">97%</w:t>
            </w:r>
          </w:p>
        </w:tc>
        <w:tc>
          <w:p>
            <w:r>
              <w:t xml:space="preserve">48 hours</w:t>
            </w:r>
          </w:p>
        </w:tc>
        <w:tc>
          <w:p>
            <w:r>
              <w:t xml:space="preserve">Limited-edition restock per museum schedule</w:t>
            </w:r>
          </w:p>
        </w:tc>
      </w:tr>
      <w:tr>
        <w:tc>
          <w:p>
            <w:r>
              <w:t xml:space="preserve">Emergency supplies</w:t>
            </w:r>
          </w:p>
        </w:tc>
        <w:tc>
          <w:p>
            <w:r>
              <w:t xml:space="preserve">99%</w:t>
            </w:r>
          </w:p>
        </w:tc>
        <w:tc>
          <w:p>
            <w:r>
              <w:t xml:space="preserve">24 hours</w:t>
            </w:r>
          </w:p>
        </w:tc>
        <w:tc>
          <w:p>
            <w:r>
              <w:t xml:space="preserve">Expiration + PPE-integrity check monthly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6. Required attachments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Per-lot planogram (Section 2 / 3) for each lot bid.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Category-specific compliance documentation (FDA Monograph, transit POS integration, harm-reduction protocol, museum consignment terms — as applicable).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Sample monthly + quarterly report per category bid.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Insurance certificate ($2M GL minimum; $5M product liability where OTC / harm-reduction / consumables warrant).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References: 3 public-facility contacts (last 24 months) — capability framing.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ADA / accessibility attestation.</w:t>
      </w:r>
    </w:p>
    <w:p>
      <w:pPr>
        <w:pStyle w:val="Heading1"/>
        <w:spacing w:after="150" w:before="300"/>
      </w:pPr>
      <w:r>
        <w:t xml:space="preserve">7. Submission instructions</w:t>
      </w:r>
    </w:p>
    <w:p>
      <w:pPr>
        <w:spacing w:after="120"/>
      </w:pPr>
      <w:r>
        <w:rPr>
          <w:b/>
          <w:bCs/>
          <w:color w:val="111827"/>
        </w:rPr>
        <w:t xml:space="preserve">Format: </w:t>
      </w:r>
      <w:r>
        <w:t xml:space="preserve">PDF response via procurement portal; per-lot pricing schedule.</w:t>
      </w:r>
    </w:p>
    <w:p>
      <w:pPr>
        <w:spacing w:after="120"/>
      </w:pPr>
      <w:r>
        <w:rPr>
          <w:b/>
          <w:bCs/>
          <w:color w:val="111827"/>
        </w:rPr>
        <w:t xml:space="preserve">Due date: </w:t>
      </w:r>
      <w:r>
        <w:t xml:space="preserve">(specify — typically 30-45 days)</w:t>
      </w:r>
    </w:p>
    <w:p>
      <w:pPr>
        <w:spacing w:after="120"/>
      </w:pPr>
      <w:r>
        <w:rPr>
          <w:b/>
          <w:bCs/>
          <w:color w:val="111827"/>
        </w:rPr>
        <w:t xml:space="preserve">Q&amp;A window: </w:t>
      </w:r>
      <w:r>
        <w:t xml:space="preserve">15 business days.</w:t>
      </w:r>
    </w:p>
    <w:p>
      <w:pPr>
        <w:spacing w:after="120"/>
      </w:pPr>
      <w:r>
        <w:rPr>
          <w:b/>
          <w:bCs/>
          <w:color w:val="111827"/>
        </w:rPr>
        <w:t xml:space="preserve">Award: </w:t>
      </w:r>
      <w:r>
        <w:t xml:space="preserve">(specify — typically 45-75 days)</w:t>
      </w:r>
    </w:p>
    <w:p>
      <w:pPr>
        <w:spacing w:before="400"/>
      </w:pPr>
      <w:r>
        <w:rPr>
          <w:i/>
          <w:iCs/>
          <w:color w:val="6B7280"/>
        </w:rPr>
        <w:t xml:space="preserve">Informational template — engage facility procurement, public-health (where harm-reduction or OTC), and risk counsel before issue. Category-specific compliance overlays vary by jurisdiction.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Specialty Public-Facility Vending RFP Template</dc:title>
  <dc:creator>LetUsVending</dc:creator>
  <dc:description>Eight specialty categories, compliance overlays, and multi-category RFP framework</dc:description>
  <cp:lastModifiedBy>Un-named</cp:lastModifiedBy>
  <cp:revision>1</cp:revision>
  <dcterms:created xsi:type="dcterms:W3CDTF">2026-05-17T13:18:09.598Z</dcterms:created>
  <dcterms:modified xsi:type="dcterms:W3CDTF">2026-05-17T13:18:09.599Z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