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Stadium + Arena Vending Services RFP Template</w:t>
      </w:r>
    </w:p>
    <w:p>
      <w:pPr>
        <w:spacing w:after="200"/>
      </w:pPr>
      <w:r>
        <w:rPr>
          <w:i/>
          <w:iCs/>
          <w:color w:val="6B7280"/>
        </w:rPr>
        <w:t xml:space="preserve">Format-mix planning, operator capability matrix, CVP template, sponsor activation guide, and scoring framework</w:t>
      </w:r>
    </w:p>
    <w:p>
      <w:pPr>
        <w:spacing w:after="300"/>
      </w:pPr>
      <w:r>
        <w:t xml:space="preserve">Use this RFP template to solicit vending bids for stadiums, arenas, and major-event venues. The framework covers four format mixes (traditional + cooler + smart-cooler + AI-powered), capability matrix scoring, a sponsor-activation playbook, and an embedded Customer Value Proposition (CVP) the operator must complete in their response.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rPr>
          <w:b/>
          <w:bCs/>
          <w:color w:val="111827"/>
        </w:rPr>
        <w:t xml:space="preserve">Venue capacity + event mix: </w:t>
      </w:r>
      <w:r>
        <w:t xml:space="preserve">(specify — e.g., 50,000-seat outdoor stadium with NFL + concerts, or 18,000-seat indoor arena with NBA + NHL + concerts)</w:t>
      </w:r>
    </w:p>
    <w:p>
      <w:pPr>
        <w:spacing w:after="120"/>
      </w:pPr>
      <w:r>
        <w:rPr>
          <w:b/>
          <w:bCs/>
          <w:color w:val="111827"/>
        </w:rPr>
        <w:t xml:space="preserve">Annual events: </w:t>
      </w:r>
      <w:r>
        <w:t xml:space="preserve">(specify — typical: 8-10 NFL home games, 41 NBA / NHL home games, 30-50 concert / family / specialty events)</w:t>
      </w:r>
    </w:p>
    <w:p>
      <w:pPr>
        <w:spacing w:after="120"/>
      </w:pPr>
      <w:r>
        <w:rPr>
          <w:b/>
          <w:bCs/>
          <w:color w:val="111827"/>
        </w:rPr>
        <w:t xml:space="preserve">Machine count by zone: </w:t>
      </w:r>
      <w:r>
        <w:t xml:space="preserve">Specify total + per-zone breakdown: main concourse, club, VIP / suite, BOH, exterior. Capability framing — describe footprint, not anchor venue names.</w:t>
      </w:r>
    </w:p>
    <w:p>
      <w:pPr>
        <w:spacing w:after="120"/>
      </w:pPr>
      <w:r>
        <w:rPr>
          <w:b/>
          <w:bCs/>
          <w:color w:val="111827"/>
        </w:rPr>
        <w:t xml:space="preserve">Contract term: </w:t>
      </w:r>
      <w:r>
        <w:t xml:space="preserve">5-year initial, 5-year option, with annual technology refresh.</w:t>
      </w:r>
    </w:p>
    <w:p>
      <w:pPr>
        <w:pStyle w:val="Heading1"/>
        <w:spacing w:after="150" w:before="300"/>
      </w:pPr>
      <w:r>
        <w:t xml:space="preserve">2. Format-mix planning</w:t>
      </w:r>
    </w:p>
    <w:p>
      <w:pPr>
        <w:spacing w:after="200"/>
      </w:pPr>
      <w:r>
        <w:t xml:space="preserve">Modern stadium vending typically blends 4 formats. Operator scopes the % mix per zone and the rationale.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SKU breadth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Avg ticket</w:t>
            </w:r>
          </w:p>
        </w:tc>
      </w:tr>
      <w:tr>
        <w:tc>
          <w:p>
            <w:r>
              <w:t xml:space="preserve">Traditional vending (helix / glass-front)</w:t>
            </w:r>
          </w:p>
        </w:tc>
        <w:tc>
          <w:p>
            <w:r>
              <w:t xml:space="preserve">High-traffic concourse, exterior, BOH; familiar UX</w:t>
            </w:r>
          </w:p>
        </w:tc>
        <w:tc>
          <w:p>
            <w:r>
              <w:t xml:space="preserve">30-45 SKUs</w:t>
            </w:r>
          </w:p>
        </w:tc>
        <w:tc>
          <w:p>
            <w:r>
              <w:t xml:space="preserve">$3-$8</w:t>
            </w:r>
          </w:p>
        </w:tc>
      </w:tr>
      <w:tr>
        <w:tc>
          <w:p>
            <w:r>
              <w:t xml:space="preserve">Refrigerated cooler (glass-door, single-item)</w:t>
            </w:r>
          </w:p>
        </w:tc>
        <w:tc>
          <w:p>
            <w:r>
              <w:t xml:space="preserve">Beverage-heavy zones, fresh / cold-chain</w:t>
            </w:r>
          </w:p>
        </w:tc>
        <w:tc>
          <w:p>
            <w:r>
              <w:t xml:space="preserve">15-30 SKUs</w:t>
            </w:r>
          </w:p>
        </w:tc>
        <w:tc>
          <w:p>
            <w:r>
              <w:t xml:space="preserve">$3-$10</w:t>
            </w:r>
          </w:p>
        </w:tc>
      </w:tr>
      <w:tr>
        <w:tc>
          <w:p>
            <w:r>
              <w:t xml:space="preserve">Smart cooler (RFID, weight, or vision-based)</w:t>
            </w:r>
          </w:p>
        </w:tc>
        <w:tc>
          <w:p>
            <w:r>
              <w:t xml:space="preserve">Premium / club zones; supports prepared food, multi-item per transaction</w:t>
            </w:r>
          </w:p>
        </w:tc>
        <w:tc>
          <w:p>
            <w:r>
              <w:t xml:space="preserve">25-50 SKUs</w:t>
            </w:r>
          </w:p>
        </w:tc>
        <w:tc>
          <w:p>
            <w:r>
              <w:t xml:space="preserve">$5-$25</w:t>
            </w:r>
          </w:p>
        </w:tc>
      </w:tr>
      <w:tr>
        <w:tc>
          <w:p>
            <w:r>
              <w:t xml:space="preserve">AI-powered grab-and-go (computer vision)</w:t>
            </w:r>
          </w:p>
        </w:tc>
        <w:tc>
          <w:p>
            <w:r>
              <w:t xml:space="preserve">VIP / club / convention; lowest friction, highest UPT</w:t>
            </w:r>
          </w:p>
        </w:tc>
        <w:tc>
          <w:p>
            <w:r>
              <w:t xml:space="preserve">30-80 SKUs</w:t>
            </w:r>
          </w:p>
        </w:tc>
        <w:tc>
          <w:p>
            <w:r>
              <w:t xml:space="preserve">$8-$40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Operator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Evidence required</w:t>
            </w:r>
          </w:p>
        </w:tc>
      </w:tr>
      <w:tr>
        <w:tc>
          <w:p>
            <w:r>
              <w:t xml:space="preserve">Format-mix capability across all four (Section 2)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Operator demonstrates portfolio across formats — capability framing acceptable, do not require anchor venue names</w:t>
            </w:r>
          </w:p>
        </w:tc>
      </w:tr>
      <w:tr>
        <w:tc>
          <w:p>
            <w:r>
              <w:t xml:space="preserve">Telemetry + uptime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Cantaloupe, Nayax, 365 Retail Markets, AWM Smart Shelf, or comparable; &lt;15-min heartbeat; 98%+ uptime track record</w:t>
            </w:r>
          </w:p>
        </w:tc>
      </w:tr>
      <w:tr>
        <w:tc>
          <w:p>
            <w:r>
              <w:t xml:space="preserve">Cold-chain + food-safety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HACCP plan; FDA Food Code 2022 §3-501 attestation; temperature-monitoring telemetry</w:t>
            </w:r>
          </w:p>
        </w:tc>
      </w:tr>
      <w:tr>
        <w:tc>
          <w:p>
            <w:r>
              <w:t xml:space="preserve">Cashless + payment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Apple Pay / Google Pay / NFC; venue member-charge integration; PCI DSS Level 1</w:t>
            </w:r>
          </w:p>
        </w:tc>
      </w:tr>
      <w:tr>
        <w:tc>
          <w:p>
            <w:r>
              <w:t xml:space="preserve">Restock cadence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Per-event surge crew; telemetry-driven mid-event top-off; demonstrated 1-2-hour stockout recovery</w:t>
            </w:r>
          </w:p>
        </w:tc>
      </w:tr>
      <w:tr>
        <w:tc>
          <w:p>
            <w:r>
              <w:t xml:space="preserve">Sponsor activation capability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Per Section 5 — tiered logo matrix, sponsor SKU integration, digital sidekick</w:t>
            </w:r>
          </w:p>
        </w:tc>
      </w:tr>
      <w:tr>
        <w:tc>
          <w:p>
            <w:r>
              <w:t xml:space="preserve">Reporting + analytics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Per-event flash report; monthly + QBR; year-over-year RPV trending</w:t>
            </w:r>
          </w:p>
        </w:tc>
      </w:tr>
      <w:tr>
        <w:tc>
          <w:p>
            <w:r>
              <w:t xml:space="preserve">Insurance + bonding</w:t>
            </w:r>
          </w:p>
        </w:tc>
        <w:tc>
          <w:p>
            <w:r>
              <w:t xml:space="preserve">5%</w:t>
            </w:r>
          </w:p>
        </w:tc>
        <w:tc>
          <w:p>
            <w:r>
              <w:t xml:space="preserve">$5M GL + $5M product liability minimum; PCI compliance attestation</w:t>
            </w:r>
          </w:p>
        </w:tc>
      </w:tr>
      <w:tr>
        <w:tc>
          <w:p>
            <w:r>
              <w:t xml:space="preserve">Pricing structure transparency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Revenue share or fixed fee, line-itemized; commission tier structure if applicable</w:t>
            </w:r>
          </w:p>
        </w:tc>
      </w:tr>
      <w:tr>
        <w:tc>
          <w:p>
            <w:r>
              <w:t xml:space="preserve">ADA + accessibility</w:t>
            </w:r>
          </w:p>
        </w:tc>
        <w:tc>
          <w:p>
            <w:r>
              <w:t xml:space="preserve">5%</w:t>
            </w:r>
          </w:p>
        </w:tc>
        <w:tc>
          <w:p>
            <w:r>
              <w:t xml:space="preserve">ADA Section 308 reach range, Section 305 clear floor space; VPAT for digital interfaces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Customer Value Proposition (CVP) — operator response</w:t>
      </w:r>
    </w:p>
    <w:p>
      <w:pPr>
        <w:spacing w:after="200"/>
      </w:pPr>
      <w:r>
        <w:t xml:space="preserve">Operator completes the CVP template inline. Scoring rewards specificity over generic claims.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CVP element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Operator response</w:t>
            </w:r>
          </w:p>
        </w:tc>
      </w:tr>
      <w:tr>
        <w:tc>
          <w:p>
            <w:r>
              <w:t xml:space="preserve">Audience job-to-be-done</w:t>
            </w:r>
          </w:p>
        </w:tc>
        <w:tc>
          <w:p>
            <w:r>
              <w:t xml:space="preserve">(operator describes what stadium audience hires vending to do — speed, novelty, premium, dietary, etc.)</w:t>
            </w:r>
          </w:p>
        </w:tc>
      </w:tr>
      <w:tr>
        <w:tc>
          <w:p>
            <w:r>
              <w:t xml:space="preserve">Pain reliever</w:t>
            </w:r>
          </w:p>
        </w:tc>
        <w:tc>
          <w:p>
            <w:r>
              <w:t xml:space="preserve">(how operator removes concourse friction — queue time, dietary search, cashless friction)</w:t>
            </w:r>
          </w:p>
        </w:tc>
      </w:tr>
      <w:tr>
        <w:tc>
          <w:p>
            <w:r>
              <w:t xml:space="preserve">Gain creator</w:t>
            </w:r>
          </w:p>
        </w:tc>
        <w:tc>
          <w:p>
            <w:r>
              <w:t xml:space="preserve">(how operator creates upside vs. concession — unique SKUs, anchor pricing, sponsor exclusives, dwell-zone capture)</w:t>
            </w:r>
          </w:p>
        </w:tc>
      </w:tr>
      <w:tr>
        <w:tc>
          <w:p>
            <w:r>
              <w:t xml:space="preserve">Proof points</w:t>
            </w:r>
          </w:p>
        </w:tc>
        <w:tc>
          <w:p>
            <w:r>
              <w:t xml:space="preserve">(metrics operator commits to — RPV, UPT, attach, cashless mix, uptime)</w:t>
            </w:r>
          </w:p>
        </w:tc>
      </w:tr>
      <w:tr>
        <w:tc>
          <w:p>
            <w:r>
              <w:t xml:space="preserve">Differentiator vs. status quo</w:t>
            </w:r>
          </w:p>
        </w:tc>
        <w:tc>
          <w:p>
            <w:r>
              <w:t xml:space="preserve">(why this operator vs. incumbent or DIY)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Sponsor activation guide</w:t>
      </w:r>
    </w:p>
    <w:p>
      <w:pPr>
        <w:spacing w:after="60" w:before="120"/>
      </w:pPr>
      <w:r>
        <w:rPr>
          <w:b/>
          <w:bCs/>
        </w:rPr>
        <w:t xml:space="preserve">1. Tier matrix</w:t>
      </w:r>
    </w:p>
    <w:p>
      <w:pPr>
        <w:spacing w:after="120"/>
      </w:pPr>
      <w:r>
        <w:t xml:space="preserve">Primary (full machine wrap + digital sidekick + dedicated SKU shelf), Secondary (side panel + sidekick rotation), Tertiary (shelf-talker only). Operator presents matrix at T-30.</w:t>
      </w:r>
    </w:p>
    <w:p>
      <w:pPr>
        <w:spacing w:after="60" w:before="120"/>
      </w:pPr>
      <w:r>
        <w:rPr>
          <w:b/>
          <w:bCs/>
        </w:rPr>
        <w:t xml:space="preserve">2. Sponsor SKU integration</w:t>
      </w:r>
    </w:p>
    <w:p>
      <w:pPr>
        <w:spacing w:after="120"/>
      </w:pPr>
      <w:r>
        <w:t xml:space="preserve">Sponsor SKUs merchandised at eye-level (rows 2-3); sponsor logo on machine face; dedicated digital sidekick callout; separate velocity reporting.</w:t>
      </w:r>
    </w:p>
    <w:p>
      <w:pPr>
        <w:spacing w:after="60" w:before="120"/>
      </w:pPr>
      <w:r>
        <w:rPr>
          <w:b/>
          <w:bCs/>
        </w:rPr>
        <w:t xml:space="preserve">3. Activation extensions</w:t>
      </w:r>
    </w:p>
    <w:p>
      <w:pPr>
        <w:spacing w:after="120"/>
      </w:pPr>
      <w:r>
        <w:t xml:space="preserve">QR / NFC tap to sponsor landing or sweepstakes; scan-volume report at month-end.</w:t>
      </w:r>
    </w:p>
    <w:p>
      <w:pPr>
        <w:spacing w:after="60" w:before="120"/>
      </w:pPr>
      <w:r>
        <w:rPr>
          <w:b/>
          <w:bCs/>
        </w:rPr>
        <w:t xml:space="preserve">4. Sponsor approvals</w:t>
      </w:r>
    </w:p>
    <w:p>
      <w:pPr>
        <w:spacing w:after="120"/>
      </w:pPr>
      <w:r>
        <w:t xml:space="preserve">Sponsor brand-team must approve all wraps + content before T-30 lock; any in-event change requires sponsor + venue marketing co-approval within 24 hours.</w:t>
      </w:r>
    </w:p>
    <w:p>
      <w:pPr>
        <w:pStyle w:val="Heading1"/>
        <w:spacing w:after="150" w:before="300"/>
      </w:pPr>
      <w:r>
        <w:t xml:space="preserve">6. SLA + credits</w:t>
      </w:r>
    </w:p>
    <w:p>
      <w:pPr>
        <w:spacing w:after="120"/>
      </w:pPr>
      <w:r>
        <w:rPr>
          <w:b/>
          <w:bCs/>
          <w:color w:val="111827"/>
        </w:rPr>
        <w:t xml:space="preserve">Uptime SLA (event hours): </w:t>
      </w:r>
      <w:r>
        <w:t xml:space="preserve">98% (99.5% for club + VIP). Each percentage point below = 2% credit.</w:t>
      </w:r>
    </w:p>
    <w:p>
      <w:pPr>
        <w:spacing w:after="120"/>
      </w:pPr>
      <w:r>
        <w:rPr>
          <w:b/>
          <w:bCs/>
          <w:color w:val="111827"/>
        </w:rPr>
        <w:t xml:space="preserve">Stockout SLA (peak window): </w:t>
      </w:r>
      <w:r>
        <w:t xml:space="preserve">Per-SKU stockout &gt; 1 hour during peak = SKU-line credit for that event.</w:t>
      </w:r>
    </w:p>
    <w:p>
      <w:pPr>
        <w:spacing w:after="120"/>
      </w:pPr>
      <w:r>
        <w:rPr>
          <w:b/>
          <w:bCs/>
          <w:color w:val="111827"/>
        </w:rPr>
        <w:t xml:space="preserve">Cold-chain SLA: </w:t>
      </w:r>
      <w:r>
        <w:t xml:space="preserve">Temperature excursion outside 35-40°F triggers alert; 2-hour on-site response (4-hour for general placements).</w:t>
      </w:r>
    </w:p>
    <w:p>
      <w:pPr>
        <w:spacing w:after="120"/>
      </w:pPr>
      <w:r>
        <w:rPr>
          <w:b/>
          <w:bCs/>
          <w:color w:val="111827"/>
        </w:rPr>
        <w:t xml:space="preserve">Refund SLA: </w:t>
      </w:r>
      <w:r>
        <w:t xml:space="preserve">Cashless refund auto-credited within 4 hours; cash refund issued at next visit (max 7 days).</w:t>
      </w:r>
    </w:p>
    <w:p>
      <w:pPr>
        <w:spacing w:after="120"/>
      </w:pPr>
      <w:r>
        <w:rPr>
          <w:b/>
          <w:bCs/>
          <w:color w:val="111827"/>
        </w:rPr>
        <w:t xml:space="preserve">Reporting SLA: </w:t>
      </w:r>
      <w:r>
        <w:t xml:space="preserve">Per-event flash report within 24 hours of event close.</w:t>
      </w:r>
    </w:p>
    <w:p>
      <w:pPr>
        <w:pStyle w:val="Heading1"/>
        <w:spacing w:after="150" w:before="300"/>
      </w:pPr>
      <w:r>
        <w:t xml:space="preserve">7. Required attachments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Format-mix capability portfolio (Section 2) — capability framing, no false claims of work at named anchor venues.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Completed CVP (Section 4).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tiered logo matrix + sponsor activation deck.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per-event flash + monthly + QBR reports.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platform demo.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certificates per Section 3 weighting.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/ accessibility documentation (VPAT, Section 308 reach-range attestation).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References: 3 venue F&amp;B / procurement / marketing contacts (last 24 months).</w:t>
      </w:r>
    </w:p>
    <w:p>
      <w:pPr>
        <w:pStyle w:val="Heading1"/>
        <w:spacing w:after="150" w:before="300"/>
      </w:pPr>
      <w:r>
        <w:t xml:space="preserve">8. Pricing structure</w:t>
      </w:r>
    </w:p>
    <w:p>
      <w:pPr>
        <w:spacing w:after="120"/>
      </w:pPr>
      <w:r>
        <w:rPr>
          <w:b/>
          <w:bCs/>
          <w:color w:val="111827"/>
        </w:rPr>
        <w:t xml:space="preserve">Revenue-share model (typical): </w:t>
      </w:r>
      <w:r>
        <w:t xml:space="preserve">Operator pays venue % of gross sales; tiers based on annual sales (e.g., 8% on first $250K, 12% on $250K-$1M, 15% above). Specify base + tier in operator response.</w:t>
      </w:r>
    </w:p>
    <w:p>
      <w:pPr>
        <w:spacing w:after="120"/>
      </w:pPr>
      <w:r>
        <w:rPr>
          <w:b/>
          <w:bCs/>
          <w:color w:val="111827"/>
        </w:rPr>
        <w:t xml:space="preserve">Fixed-fee model (less common): </w:t>
      </w:r>
      <w:r>
        <w:t xml:space="preserve">Operator pays fixed monthly per machine; venue retains all sales. Suitable where venue has strong merchandising preference.</w:t>
      </w:r>
    </w:p>
    <w:p>
      <w:pPr>
        <w:spacing w:after="120"/>
      </w:pPr>
      <w:r>
        <w:rPr>
          <w:b/>
          <w:bCs/>
          <w:color w:val="111827"/>
        </w:rPr>
        <w:t xml:space="preserve">Hybrid: </w:t>
      </w:r>
      <w:r>
        <w:t xml:space="preserve">Fixed minimum + revenue share above threshold.</w:t>
      </w:r>
    </w:p>
    <w:p>
      <w:pPr>
        <w:spacing w:after="120"/>
      </w:pPr>
      <w:r>
        <w:rPr>
          <w:b/>
          <w:bCs/>
          <w:color w:val="111827"/>
        </w:rPr>
        <w:t xml:space="preserve">Capital allocation: </w:t>
      </w:r>
      <w:r>
        <w:t xml:space="preserve">Operator funds equipment + branding; venue may co-fund premium-tier finishes (suite hallway). Specify any venue capital ask.</w:t>
      </w:r>
    </w:p>
    <w:p>
      <w:pPr>
        <w:pStyle w:val="Heading1"/>
        <w:spacing w:after="150" w:before="300"/>
      </w:pPr>
      <w:r>
        <w:t xml:space="preserve">9. Submission instructions</w:t>
      </w:r>
    </w:p>
    <w:p>
      <w:pPr>
        <w:spacing w:after="120"/>
      </w:pPr>
      <w:r>
        <w:rPr>
          <w:b/>
          <w:bCs/>
          <w:color w:val="111827"/>
        </w:rPr>
        <w:t xml:space="preserve">Format: </w:t>
      </w:r>
      <w:r>
        <w:t xml:space="preserve">PDF response via procurement portal; supporting materials in single ZIP.</w:t>
      </w:r>
    </w:p>
    <w:p>
      <w:pPr>
        <w:spacing w:after="120"/>
      </w:pPr>
      <w:r>
        <w:rPr>
          <w:b/>
          <w:bCs/>
          <w:color w:val="111827"/>
        </w:rPr>
        <w:t xml:space="preserve">Due date: </w:t>
      </w:r>
      <w:r>
        <w:t xml:space="preserve">(specify — typically 45-60 days for stadium-scale complexity)</w:t>
      </w:r>
    </w:p>
    <w:p>
      <w:pPr>
        <w:spacing w:after="120"/>
      </w:pPr>
      <w:r>
        <w:rPr>
          <w:b/>
          <w:bCs/>
          <w:color w:val="111827"/>
        </w:rPr>
        <w:t xml:space="preserve">Mandatory site walk: </w:t>
      </w:r>
      <w:r>
        <w:t xml:space="preserve">Operator attends site walk; capability framing applies to scoring.</w:t>
      </w:r>
    </w:p>
    <w:p>
      <w:pPr>
        <w:spacing w:after="120"/>
      </w:pPr>
      <w:r>
        <w:rPr>
          <w:b/>
          <w:bCs/>
          <w:color w:val="111827"/>
        </w:rPr>
        <w:t xml:space="preserve">Q&amp;A window: </w:t>
      </w:r>
      <w:r>
        <w:t xml:space="preserve">15 business days.</w:t>
      </w:r>
    </w:p>
    <w:p>
      <w:pPr>
        <w:spacing w:after="120"/>
      </w:pPr>
      <w:r>
        <w:rPr>
          <w:b/>
          <w:bCs/>
          <w:color w:val="111827"/>
        </w:rPr>
        <w:t xml:space="preserve">Award: </w:t>
      </w:r>
      <w:r>
        <w:t xml:space="preserve">(specify — typically 60-90 days)</w:t>
      </w:r>
    </w:p>
    <w:p>
      <w:pPr>
        <w:spacing w:before="400"/>
      </w:pPr>
      <w:r>
        <w:rPr>
          <w:i/>
          <w:iCs/>
          <w:color w:val="6B7280"/>
        </w:rPr>
        <w:t xml:space="preserve">Informational template — engage venue procurement, F&amp;B leadership, and risk counsel before issue. Revenue-share benchmarks vary by venue size, audience demographics, and exclusivity terms.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Stadium + Arena Vending Services RFP Template</dc:title>
  <dc:creator>LetUsVending</dc:creator>
  <dc:description>Format-mix planning, operator capability matrix, CVP template, sponsor activation guide, and scoring framework</dc:description>
  <cp:lastModifiedBy>Un-named</cp:lastModifiedBy>
  <cp:revision>1</cp:revision>
  <dcterms:created xsi:type="dcterms:W3CDTF">2026-05-17T13:18:09.635Z</dcterms:created>
  <dcterms:modified xsi:type="dcterms:W3CDTF">2026-05-17T13:18:09.636Z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