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Vending Telemetry Verification Checklist</w:t>
      </w:r>
    </w:p>
    <w:p>
      <w:pPr>
        <w:spacing w:after="200"/>
      </w:pPr>
      <w:r>
        <w:rPr>
          <w:i/>
          <w:iCs/>
          <w:color w:val="6B7280"/>
        </w:rPr>
        <w:t xml:space="preserve">Operator coverage + signal + dashboard read-access + PCI DSS v4.0.1 + SLA</w:t>
      </w:r>
    </w:p>
    <w:p>
      <w:pPr>
        <w:spacing w:after="300"/>
      </w:pPr>
      <w:r>
        <w:t xml:space="preserve">Telemetry is the single capability that separates a modern operator from a legacy route. Without it, an operator can't credibly commit to uptime SLA, planogram refresh, or revenue transparency. This checklist gives the facility manager + procurement officer a verifiable telemetry baseline against the established platforms (Cantaloupe Seed, Nayax MoMa, 365 Retail Markets ADM, AWM Smart Shelf, Parlevel, USA Technologies / Cantaloupe ePort) and against PCI DSS v4.0.1 segmentation requirements.</w:t>
      </w:r>
    </w:p>
    <w:p>
      <w:pPr>
        <w:pStyle w:val="Heading1"/>
        <w:spacing w:after="150" w:before="300"/>
      </w:pPr>
      <w:r>
        <w:t xml:space="preserve">1. Operator capability + platform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Platform named in MSA (Cantaloupe Seed / Nayax MoMa / 365 ADM / AWM / Parlevel / equivalent).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Per-machine cellular modem (preferred) OR facility Wi-Fi on isolated VLAN per PCI DSS v4.0.1 Req 1.2.6.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Heartbeat cadence ≤ 15 minutes; offline &gt; 30 minutes triggers operator alert with 24-hour resolution SLA.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Operator's NOC monitors 24/7 (or has documented escalation procedure for after-hours alerts).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commits in writing to telemetry coverage on ≥ 95% of fleet at the placement.</w:t>
      </w:r>
    </w:p>
    <w:p>
      <w:pPr>
        <w:pStyle w:val="Heading1"/>
        <w:spacing w:after="150" w:before="300"/>
      </w:pPr>
      <w:r>
        <w:t xml:space="preserve">2. Cellular signal verification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RSRP ≥ -100 dBm at placement (LTE Cat-1 / Cat-M typical); measured with cellular meter, not phone bars.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Carrier diversity available where placement is at fringe (Verizon + AT&amp;T failover on same SIM where supported).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Cellular booster engineered + installed where placement signal fails baseline (operator-funded per MSA).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APN + SIM under operator control (private APN preferred at government / healthcare placements).</w:t>
      </w:r>
    </w:p>
    <w:p>
      <w:pPr>
        <w:pStyle w:val="Heading1"/>
        <w:spacing w:after="150" w:before="300"/>
      </w:pPr>
      <w:r>
        <w:t xml:space="preserve">3. Dashboard read-access</w:t>
      </w:r>
    </w:p>
    <w:p>
      <w:pPr>
        <w:spacing w:after="200"/>
      </w:pPr>
      <w:r>
        <w:t xml:space="preserve">Facility read-access to the operator's telemetry dashboard is the highest-leverage transparency mechanism in a vending MSA. It eliminates 80% of dispute scenarios at QBR.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Facility manager + procurement + (where applicable) SFA director have named-user dashboard access.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Dashboard surfaces: per-machine uptime, per-SKU velocity, refund volume, payment failure rate, cash/cashless mix.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Dashboard exportable to CSV / XLSX for facility-side analytics + audit.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Refund + service-ticket history visible to facility for the contract term.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SSO / SAML federation supported at enterprise placements.</w:t>
      </w:r>
    </w:p>
    <w:p>
      <w:pPr>
        <w:pStyle w:val="Heading1"/>
        <w:spacing w:after="150" w:before="300"/>
      </w:pPr>
      <w:r>
        <w:t xml:space="preserve">4. PCI DSS v4.0.1 segmentation + payment data</w:t>
      </w:r>
    </w:p>
    <w:p>
      <w:pPr>
        <w:spacing w:after="200"/>
      </w:pPr>
      <w:r>
        <w:t xml:space="preserve">Telemetry traffic and payment traffic should be logically (or physically) segmented. PCI DSS v4.0.1 mandatory as of 31 March 2025 — verify operator AOC dated accordingly.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PCI DSS v4.0.1 Attestation of Compliance (AOC) dated within 12 months — v3.2.1 (retired) NOT acceptable.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Payment terminal on PCI PTS v6+ approved devices list.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P2PE v3.1 or strong tokenization; PAN never on operator host or facility network.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Telemetry payload limited to SKU velocity + machine state + non-PCI metadata; no PAN, no track data.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TLS 1.2 minimum (TLS 1.3 preferred); SSL / TLS 1.0/1.1 disabled per NIST SP 800-52 Rev. 2.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Network segmentation testing per PCI DSS v4.0.1 Req 11.4.5 (annual).</w:t>
      </w:r>
    </w:p>
    <w:p>
      <w:pPr>
        <w:pStyle w:val="Heading1"/>
        <w:spacing w:after="150" w:before="300"/>
      </w:pPr>
      <w:r>
        <w:t xml:space="preserve">5. Alerts + SLA tiers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Alert tier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Trigger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Operator SLA</w:t>
            </w:r>
          </w:p>
        </w:tc>
      </w:tr>
      <w:tr>
        <w:tc>
          <w:p>
            <w:r>
              <w:t xml:space="preserve">Tier 1 — revenue-critical</w:t>
            </w:r>
          </w:p>
        </w:tc>
        <w:tc>
          <w:p>
            <w:r>
              <w:t xml:space="preserve">Machine offline &gt; 30 min, payment terminal down, refrigerated unit out-of-spec</w:t>
            </w:r>
          </w:p>
        </w:tc>
        <w:tc>
          <w:p>
            <w:r>
              <w:t xml:space="preserve">&lt;24 hr acknowledgement, &lt;24 hr resolution</w:t>
            </w:r>
          </w:p>
        </w:tc>
      </w:tr>
      <w:tr>
        <w:tc>
          <w:p>
            <w:r>
              <w:t xml:space="preserve">Tier 2 — stockout</w:t>
            </w:r>
          </w:p>
        </w:tc>
        <w:tc>
          <w:p>
            <w:r>
              <w:t xml:space="preserve">Per-SKU stockout, planogram refresh request</w:t>
            </w:r>
          </w:p>
        </w:tc>
        <w:tc>
          <w:p>
            <w:r>
              <w:t xml:space="preserve">24-48 hr acknowledgement, 5-7 day resolution</w:t>
            </w:r>
          </w:p>
        </w:tc>
      </w:tr>
      <w:tr>
        <w:tc>
          <w:p>
            <w:r>
              <w:t xml:space="preserve">Tier 3 — cosmetic / signage</w:t>
            </w:r>
          </w:p>
        </w:tc>
        <w:tc>
          <w:p>
            <w:r>
              <w:t xml:space="preserve">Signage replacement, label refresh, cabinet cleaning</w:t>
            </w:r>
          </w:p>
        </w:tc>
        <w:tc>
          <w:p>
            <w:r>
              <w:t xml:space="preserve">5-day acknowledgement, 14-day resolution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6. Data retention + audit rights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Telemetry data retained ≥ 24 months by operator.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Facility has audit right with 10-business-day notice; data export available in CSV / XLSX.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Per-machine commission reconciliation tied to telemetry-counted vends; discrepancies &gt; 1% trigger root-cause review.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Refund + chargeback log retained ≥ 18 months (Visa Dispute Monitoring Program window).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Annual revenue audit available at operator expense above defined gross-sales threshold.</w:t>
      </w:r>
    </w:p>
    <w:p>
      <w:pPr>
        <w:pStyle w:val="Heading1"/>
        <w:spacing w:after="150" w:before="300"/>
      </w:pPr>
      <w:r>
        <w:t xml:space="preserve">7. Quarterly Business Review (QBR)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Uptime report per machine over the quarter; trend vs SLA.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Per-SKU velocity report; planogram refresh recommendations.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Refund volume + reason codes; refund rate &gt; 2% triggers planogram + hardware review.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Payment failure rate trend; mix shift cash ↔ cashless.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Service ticket SLA adherence (Tier 1/2/3 from §5).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Action items with named owners + due dates; carried to next QBR.</w:t>
      </w:r>
    </w:p>
    <w:p>
      <w:pPr>
        <w:pStyle w:val="Heading1"/>
        <w:spacing w:after="150" w:before="300"/>
      </w:pPr>
      <w:r>
        <w:t xml:space="preserve">8. Privacy + data handling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Telemetry data not used for individual identification at the placement (transactions de-identified).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Where loyalty / app integration captures personal data, CCPA / VCDPA / CPA / CTDPA / UCPA notice + opt-out honored.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Vendor Data Processing Agreement (DPA) in place; sub-processor list maintained.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Data deletion on contract termination per retention schedule.</w:t>
      </w:r>
    </w:p>
    <w:p>
      <w:pPr>
        <w:spacing w:before="400"/>
      </w:pPr>
      <w:r>
        <w:rPr>
          <w:i/>
          <w:iCs/>
          <w:color w:val="6B7280"/>
        </w:rPr>
        <w:t xml:space="preserve">Informational only — not legal or security advice. Confirm PCI DSS, NIST, and state privacy law applicability with counsel and the facility IT / security lead. LetUsVending is equipped to coordinate operators with telemetry-verified fleets, dashboard read-access, and contractual SLA backing.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Vending Telemetry Verification Checklist</dc:title>
  <dc:creator>LetUsVending</dc:creator>
  <dc:description>Operator coverage + signal + dashboard read-access + PCI DSS v4.0.1 + SLA</dc:description>
  <cp:lastModifiedBy>Un-named</cp:lastModifiedBy>
  <cp:revision>1</cp:revision>
  <dcterms:created xsi:type="dcterms:W3CDTF">2026-05-17T13:18:09.999Z</dcterms:created>
  <dcterms:modified xsi:type="dcterms:W3CDTF">2026-05-17T13:18:10.000Z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