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Touchless Office Coffee Framework</w:t>
      </w:r>
    </w:p>
    <w:p>
      <w:pPr>
        <w:spacing w:after="200"/>
      </w:pPr>
      <w:r>
        <w:rPr>
          <w:i/>
          <w:iCs/>
          <w:color w:val="6B7280"/>
        </w:rPr>
        <w:t xml:space="preserve">Technology comparison, equipment specification, OCS operator RFP template, and cleaning protocol</w:t>
      </w:r>
    </w:p>
    <w:p>
      <w:pPr>
        <w:spacing w:after="300"/>
      </w:pPr>
      <w:r>
        <w:t xml:space="preserve">Touchless office coffee — bean-to-cup brewers with app, gesture, or RFID activation — became the default office spec after the COVID-19 transmission research published by the CDC + NIOSH and after ANSI/NSF 18 (Manual Food and Beverage Dispensing Equipment) was updated to address contactless operation. This framework gives the workplace experience leader + facilities team an objective technology comparison, an equipment spec the OCS operator can quote, a complete RFP template, and a cleaning protocol aligned to NSF + ANSI standards.</w:t>
      </w:r>
    </w:p>
    <w:p>
      <w:pPr>
        <w:pStyle w:val="Heading1"/>
        <w:spacing w:after="150" w:before="300"/>
      </w:pPr>
      <w:r>
        <w:t xml:space="preserve">1. Touchless activation technology — comparison</w:t>
      </w:r>
    </w:p>
    <w:p>
      <w:pPr>
        <w:spacing w:after="200"/>
      </w:pPr>
      <w:r>
        <w:t xml:space="preserve">Three activation technologies dominate the market. Choose based on user flow, security requirements, and budget.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How it works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Best fit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Limitations</w:t>
            </w:r>
          </w:p>
        </w:tc>
      </w:tr>
      <w:tr>
        <w:tc>
          <w:p>
            <w:r>
              <w:t xml:space="preserve">Mobile app + QR code</w:t>
            </w:r>
          </w:p>
        </w:tc>
        <w:tc>
          <w:p>
            <w:r>
              <w:t xml:space="preserve">User scans QR on brewer screen; selects drink in app; brewer dispenses</w:t>
            </w:r>
          </w:p>
        </w:tc>
        <w:tc>
          <w:p>
            <w:r>
              <w:t xml:space="preserve">Tenant offices + coworking + hospitality</w:t>
            </w:r>
          </w:p>
        </w:tc>
        <w:tc>
          <w:p>
            <w:r>
              <w:t xml:space="preserve">Requires phone + battery; not great for visitors without the app</w:t>
            </w:r>
          </w:p>
        </w:tc>
      </w:tr>
      <w:tr>
        <w:tc>
          <w:p>
            <w:r>
              <w:t xml:space="preserve">RFID badge tap</w:t>
            </w:r>
          </w:p>
        </w:tc>
        <w:tc>
          <w:p>
            <w:r>
              <w:t xml:space="preserve">User taps employee badge or guest card on contactless reader; brewer dispenses default drink or last drink</w:t>
            </w:r>
          </w:p>
        </w:tc>
        <w:tc>
          <w:p>
            <w:r>
              <w:t xml:space="preserve">Corporate offices with existing badge ecosystem (HID, Mifare)</w:t>
            </w:r>
          </w:p>
        </w:tc>
        <w:tc>
          <w:p>
            <w:r>
              <w:t xml:space="preserve">Setup requires IT + facilities coordination</w:t>
            </w:r>
          </w:p>
        </w:tc>
      </w:tr>
      <w:tr>
        <w:tc>
          <w:p>
            <w:r>
              <w:t xml:space="preserve">Gesture / motion + voice</w:t>
            </w:r>
          </w:p>
        </w:tc>
        <w:tc>
          <w:p>
            <w:r>
              <w:t xml:space="preserve">Wave-to-start sensor or short voice command ("start coffee")</w:t>
            </w:r>
          </w:p>
        </w:tc>
        <w:tc>
          <w:p>
            <w:r>
              <w:t xml:space="preserve">Reception areas, executive floors, hospitality lobby</w:t>
            </w:r>
          </w:p>
        </w:tc>
        <w:tc>
          <w:p>
            <w:r>
              <w:t xml:space="preserve">Background noise + lighting affect reliability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Equipment specification — bean-to-cup brewer</w:t>
      </w:r>
    </w:p>
    <w:p>
      <w:pPr>
        <w:spacing w:after="200"/>
      </w:pPr>
      <w:r>
        <w:t xml:space="preserve">Specify the brewer at the model level so quotes are apples-to-apples. Major commercial brands include Franke (A1000 / A800), WMF (5000S+ / 1500S+), Schaerer (Soul / Coffee Skye), Eversys (e'2 / Cameo), JURA (Giga X8 Professional), and La Cimbali (S30).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Bean-to-cup operation with twin-grinder option for caffeinated + decaf or two bean profiles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Hot water + steam wand for tea + manual milk options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Auto-milk system with refrigerated milk container and CIP (clean-in-place) cycle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Contactless activation method (app / RFID / gesture / voice) per the comparison table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— daily brew counts, per-drink mix, hopper level, milk level, cleaning cycle status (Franke FoamMaster Connect, WMF CoffeeConnect, Schaerer Coffee Link, or comparable)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PCI-DSS attestation through payment vendor where the brewer is pay-per-cup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ENERGY STAR or comparable energy certification for commercial coffee equipment where available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NSF certification or NSF/ANSI 18 compliance for the brewer</w:t>
      </w:r>
    </w:p>
    <w:p>
      <w:pPr>
        <w:pStyle w:val="Heading1"/>
        <w:spacing w:after="150" w:before="300"/>
      </w:pPr>
      <w:r>
        <w:t xml:space="preserve">3. OCS operator RFP template</w:t>
      </w:r>
    </w:p>
    <w:p>
      <w:pPr>
        <w:spacing w:after="200"/>
      </w:pPr>
      <w:r>
        <w:t xml:space="preserve">Eight sections every OCS RFP should include. Total response 25-40 pages depending on installation count.</w:t>
      </w:r>
    </w:p>
    <w:p>
      <w:pPr>
        <w:spacing w:after="60" w:before="120"/>
      </w:pPr>
      <w:r>
        <w:rPr>
          <w:b/>
          <w:bCs/>
        </w:rPr>
        <w:t xml:space="preserve">1. Section A — Bidder profile</w:t>
      </w:r>
    </w:p>
    <w:p>
      <w:pPr>
        <w:spacing w:after="120"/>
      </w:pPr>
      <w:r>
        <w:t xml:space="preserve">Years in OCS, brewer brand authorization, technician certification (Franke / WMF / Schaerer / Eversys / JURA certified service).</w:t>
      </w:r>
    </w:p>
    <w:p>
      <w:pPr>
        <w:spacing w:after="60" w:before="120"/>
      </w:pPr>
      <w:r>
        <w:rPr>
          <w:b/>
          <w:bCs/>
        </w:rPr>
        <w:t xml:space="preserve">2. Section B — Equipment spec proposal</w:t>
      </w:r>
    </w:p>
    <w:p>
      <w:pPr>
        <w:spacing w:after="120"/>
      </w:pPr>
      <w:r>
        <w:t xml:space="preserve">Per-floor brewer recommendation with model + activation technology + telemetry vendor.</w:t>
      </w:r>
    </w:p>
    <w:p>
      <w:pPr>
        <w:spacing w:after="60" w:before="120"/>
      </w:pPr>
      <w:r>
        <w:rPr>
          <w:b/>
          <w:bCs/>
        </w:rPr>
        <w:t xml:space="preserve">3. Section C — Bean + supply program</w:t>
      </w:r>
    </w:p>
    <w:p>
      <w:pPr>
        <w:spacing w:after="120"/>
      </w:pPr>
      <w:r>
        <w:t xml:space="preserve">Bean origin + roast + grind, milk + alternative-milk options (oat / almond / soy), syrup + sweetener inventory, allergen labeling per FALCPA.</w:t>
      </w:r>
    </w:p>
    <w:p>
      <w:pPr>
        <w:spacing w:after="60" w:before="120"/>
      </w:pPr>
      <w:r>
        <w:rPr>
          <w:b/>
          <w:bCs/>
        </w:rPr>
        <w:t xml:space="preserve">4. Section D — SLA + telemetry</w:t>
      </w:r>
    </w:p>
    <w:p>
      <w:pPr>
        <w:spacing w:after="120"/>
      </w:pPr>
      <w:r>
        <w:t xml:space="preserve">Uptime 97%, tier-1 &lt; 24 hr, daily hopper-level check via telemetry, refund + reorder mechanism.</w:t>
      </w:r>
    </w:p>
    <w:p>
      <w:pPr>
        <w:spacing w:after="60" w:before="120"/>
      </w:pPr>
      <w:r>
        <w:rPr>
          <w:b/>
          <w:bCs/>
        </w:rPr>
        <w:t xml:space="preserve">5. Section E — Cleaning + sanitation</w:t>
      </w:r>
    </w:p>
    <w:p>
      <w:pPr>
        <w:spacing w:after="120"/>
      </w:pPr>
      <w:r>
        <w:t xml:space="preserve">Daily CIP cycle, weekly deep clean, monthly descaling, quarterly preventive maintenance per manufacturer schedule.</w:t>
      </w:r>
    </w:p>
    <w:p>
      <w:pPr>
        <w:spacing w:after="60" w:before="120"/>
      </w:pPr>
      <w:r>
        <w:rPr>
          <w:b/>
          <w:bCs/>
        </w:rPr>
        <w:t xml:space="preserve">6. Section F — Implementation + training</w:t>
      </w:r>
    </w:p>
    <w:p>
      <w:pPr>
        <w:spacing w:after="120"/>
      </w:pPr>
      <w:r>
        <w:t xml:space="preserve">Install schedule, user onboarding (signage + email + lunch-and-learn), facilities + IT coordination for activation technology.</w:t>
      </w:r>
    </w:p>
    <w:p>
      <w:pPr>
        <w:spacing w:after="60" w:before="120"/>
      </w:pPr>
      <w:r>
        <w:rPr>
          <w:b/>
          <w:bCs/>
        </w:rPr>
        <w:t xml:space="preserve">7. Section G — Commercial terms</w:t>
      </w:r>
    </w:p>
    <w:p>
      <w:pPr>
        <w:spacing w:after="120"/>
      </w:pPr>
      <w:r>
        <w:t xml:space="preserve">Equipment lease vs purchase, supply pricing, route service frequency, billing cadence + audit right.</w:t>
      </w:r>
    </w:p>
    <w:p>
      <w:pPr>
        <w:spacing w:after="60" w:before="120"/>
      </w:pPr>
      <w:r>
        <w:rPr>
          <w:b/>
          <w:bCs/>
        </w:rPr>
        <w:t xml:space="preserve">8. Section H — References + capability</w:t>
      </w:r>
    </w:p>
    <w:p>
      <w:pPr>
        <w:spacing w:after="120"/>
      </w:pPr>
      <w:r>
        <w:t xml:space="preserve">Three OCS references at comparable footprint with named workplace experience or facilities contact.</w:t>
      </w:r>
    </w:p>
    <w:p>
      <w:pPr>
        <w:pStyle w:val="Heading1"/>
        <w:spacing w:after="150" w:before="300"/>
      </w:pPr>
      <w:r>
        <w:t xml:space="preserve">4. Cleaning protocol — NSF + ANSI aligned</w:t>
      </w:r>
    </w:p>
    <w:p>
      <w:pPr>
        <w:spacing w:after="200"/>
      </w:pPr>
      <w:r>
        <w:t xml:space="preserve">Operator + tenant share cleaning responsibility. Operator covers route-side daily CIP and weekly deep clean; tenant covers ambient cleanliness around the brewer. NSF/ANSI 18 compliance is verified at install and at annual reattestation.</w:t>
      </w:r>
    </w:p>
    <w:p>
      <w:pPr>
        <w:spacing w:after="120"/>
      </w:pPr>
      <w:r>
        <w:rPr>
          <w:b/>
          <w:bCs/>
          <w:color w:val="111827"/>
        </w:rPr>
        <w:t xml:space="preserve">Daily — operator (via telemetry-triggered CIP): </w:t>
      </w:r>
      <w:r>
        <w:t xml:space="preserve">Automated clean-in-place cycle for milk system; rinse cycle for brew group; daily counter wipe-down where staffed by route.</w:t>
      </w:r>
    </w:p>
    <w:p>
      <w:pPr>
        <w:spacing w:after="120"/>
      </w:pPr>
      <w:r>
        <w:rPr>
          <w:b/>
          <w:bCs/>
          <w:color w:val="111827"/>
        </w:rPr>
        <w:t xml:space="preserve">Daily — tenant: </w:t>
      </w:r>
      <w:r>
        <w:t xml:space="preserve">Wipe brewer face + drip tray + cup-warming surface; empty drip tray where not auto-drained; restock bean hopper from sealed bag (only if tenant manages refill).</w:t>
      </w:r>
    </w:p>
    <w:p>
      <w:pPr>
        <w:spacing w:after="120"/>
      </w:pPr>
      <w:r>
        <w:rPr>
          <w:b/>
          <w:bCs/>
          <w:color w:val="111827"/>
        </w:rPr>
        <w:t xml:space="preserve">Weekly — operator: </w:t>
      </w:r>
      <w:r>
        <w:t xml:space="preserve">Deep clean of brew group + grinder + milk system per manufacturer protocol; descaling cycle as required by water hardness; replace water filter cartridge per schedule.</w:t>
      </w:r>
    </w:p>
    <w:p>
      <w:pPr>
        <w:spacing w:after="120"/>
      </w:pPr>
      <w:r>
        <w:rPr>
          <w:b/>
          <w:bCs/>
          <w:color w:val="111827"/>
        </w:rPr>
        <w:t xml:space="preserve">Monthly — operator: </w:t>
      </w:r>
      <w:r>
        <w:t xml:space="preserve">Comprehensive preventive maintenance: gasket inspection, seal replacement where worn, pump pressure verification, steam wand calibration, telemetry firmware update.</w:t>
      </w:r>
    </w:p>
    <w:p>
      <w:pPr>
        <w:spacing w:after="120"/>
      </w:pPr>
      <w:r>
        <w:rPr>
          <w:b/>
          <w:bCs/>
          <w:color w:val="111827"/>
        </w:rPr>
        <w:t xml:space="preserve">Quarterly — operator: </w:t>
      </w:r>
      <w:r>
        <w:t xml:space="preserve">Full machine PM per manufacturer schedule (Franke / WMF / Schaerer / Eversys / JURA service interval); NSF/ANSI 18 cleanliness audit; water-quality test on incoming line.</w:t>
      </w:r>
    </w:p>
    <w:p>
      <w:pPr>
        <w:spacing w:after="120"/>
      </w:pPr>
      <w:r>
        <w:rPr>
          <w:b/>
          <w:bCs/>
          <w:color w:val="111827"/>
        </w:rPr>
        <w:t xml:space="preserve">Annual — operator + tenant: </w:t>
      </w:r>
      <w:r>
        <w:t xml:space="preserve">Equipment refresh decision (replace &gt; 5 years or &gt; 250K brew cycles); NSF/ANSI 18 reattestation; ADA + Section 308 reach range verification.</w:t>
      </w:r>
    </w:p>
    <w:p>
      <w:pPr>
        <w:pStyle w:val="Heading1"/>
        <w:spacing w:after="150" w:before="300"/>
      </w:pPr>
      <w:r>
        <w:t xml:space="preserve">5. SLA + telemetry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SLA dimension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Remedy</w:t>
            </w:r>
          </w:p>
        </w:tc>
      </w:tr>
      <w:tr>
        <w:tc>
          <w:p>
            <w:r>
              <w:t xml:space="preserve">Per-brewer uptime</w:t>
            </w:r>
          </w:p>
        </w:tc>
        <w:tc>
          <w:p>
            <w:r>
              <w:t xml:space="preserve">97% monthly</w:t>
            </w:r>
          </w:p>
        </w:tc>
        <w:tc>
          <w:p>
            <w:r>
              <w:t xml:space="preserve">Telemetry — minutes online / minutes in month</w:t>
            </w:r>
          </w:p>
        </w:tc>
        <w:tc>
          <w:p>
            <w:r>
              <w:t xml:space="preserve">Service-improvement plan at &lt; 95%</w:t>
            </w:r>
          </w:p>
        </w:tc>
      </w:tr>
      <w:tr>
        <w:tc>
          <w:p>
            <w:r>
              <w:t xml:space="preserve">Tier-1 ticket (offline / payment / leak)</w:t>
            </w:r>
          </w:p>
        </w:tc>
        <w:tc>
          <w:p>
            <w:r>
              <w:t xml:space="preserve">Acknowledge &lt; 4 hrs; resolve &lt; 24 hrs</w:t>
            </w:r>
          </w:p>
        </w:tc>
        <w:tc>
          <w:p>
            <w:r>
              <w:t xml:space="preserve">Operator CRM + telemetry</w:t>
            </w:r>
          </w:p>
        </w:tc>
        <w:tc>
          <w:p>
            <w:r>
              <w:t xml:space="preserve">Per-ticket credit at SLA miss</w:t>
            </w:r>
          </w:p>
        </w:tc>
      </w:tr>
      <w:tr>
        <w:tc>
          <w:p>
            <w:r>
              <w:t xml:space="preserve">Bean / milk stockout</w:t>
            </w:r>
          </w:p>
        </w:tc>
        <w:tc>
          <w:p>
            <w:r>
              <w:t xml:space="preserve">Hopper / container &gt; 20% at all times</w:t>
            </w:r>
          </w:p>
        </w:tc>
        <w:tc>
          <w:p>
            <w:r>
              <w:t xml:space="preserve">Telemetry level sensor</w:t>
            </w:r>
          </w:p>
        </w:tc>
        <w:tc>
          <w:p>
            <w:r>
              <w:t xml:space="preserve">Stockout incident logged + cadence review</w:t>
            </w:r>
          </w:p>
        </w:tc>
      </w:tr>
      <w:tr>
        <w:tc>
          <w:p>
            <w:r>
              <w:t xml:space="preserve">Refund / drink-error</w:t>
            </w:r>
          </w:p>
        </w:tc>
        <w:tc>
          <w:p>
            <w:r>
              <w:t xml:space="preserve">Credit &lt; 24 hrs cashless; cash &lt; 7 days</w:t>
            </w:r>
          </w:p>
        </w:tc>
        <w:tc>
          <w:p>
            <w:r>
              <w:t xml:space="preserve">Refund log</w:t>
            </w:r>
          </w:p>
        </w:tc>
        <w:tc>
          <w:p>
            <w:r>
              <w:t xml:space="preserve">Refund rate &gt; 2% triggers brewer + planogram review</w:t>
            </w:r>
          </w:p>
        </w:tc>
      </w:tr>
      <w:tr>
        <w:tc>
          <w:p>
            <w:r>
              <w:t xml:space="preserve">Cleaning cycle adherence</w:t>
            </w:r>
          </w:p>
        </w:tc>
        <w:tc>
          <w:p>
            <w:r>
              <w:t xml:space="preserve">100% scheduled CIP completed</w:t>
            </w:r>
          </w:p>
        </w:tc>
        <w:tc>
          <w:p>
            <w:r>
              <w:t xml:space="preserve">Telemetry cleaning log</w:t>
            </w:r>
          </w:p>
        </w:tc>
        <w:tc>
          <w:p>
            <w:r>
              <w:t xml:space="preserve">Missed cycle triggers root-cause memo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Common pitfalls</w:t>
      </w:r>
    </w:p>
    <w:p>
      <w:pPr>
        <w:spacing w:after="120"/>
      </w:pPr>
      <w:r>
        <w:rPr>
          <w:b/>
          <w:bCs/>
          <w:color w:val="111827"/>
        </w:rPr>
        <w:t xml:space="preserve">Choosing activation technology that doesn't match user flow: </w:t>
      </w:r>
      <w:r>
        <w:t xml:space="preserve">Mobile app fails for executive offices where visitors need access; RFID fails for coworking with rotating membership; gesture fails for lobbies with high ambient noise. Match technology to context.</w:t>
      </w:r>
    </w:p>
    <w:p>
      <w:pPr>
        <w:spacing w:after="120"/>
      </w:pPr>
      <w:r>
        <w:rPr>
          <w:b/>
          <w:bCs/>
          <w:color w:val="111827"/>
        </w:rPr>
        <w:t xml:space="preserve">Underspecifying cleaning + sanitation: </w:t>
      </w:r>
      <w:r>
        <w:t xml:space="preserve">Office coffee disputes concentrate in milk-system spoilage + grind staleness. Specify the cleaning protocol in the contract with telemetry-verified completion.</w:t>
      </w:r>
    </w:p>
    <w:p>
      <w:pPr>
        <w:spacing w:after="120"/>
      </w:pPr>
      <w:r>
        <w:rPr>
          <w:b/>
          <w:bCs/>
          <w:color w:val="111827"/>
        </w:rPr>
        <w:t xml:space="preserve">Missing telemetry on hopper + milk levels: </w:t>
      </w:r>
      <w:r>
        <w:t xml:space="preserve">Without telemetry-driven restock, OCS operators rotate weekly and miss stockouts mid-week. Telemetry hopper-level sensing is now standard.</w:t>
      </w:r>
    </w:p>
    <w:p>
      <w:pPr>
        <w:spacing w:after="120"/>
      </w:pPr>
      <w:r>
        <w:rPr>
          <w:b/>
          <w:bCs/>
          <w:color w:val="111827"/>
        </w:rPr>
        <w:t xml:space="preserve">No allergen labeling: </w:t>
      </w:r>
      <w:r>
        <w:t xml:space="preserve">Plant-milk + flavor-syrup allergens require FALCPA labeling on the brewer or via QR code. Common gap in OCS programs.</w:t>
      </w:r>
    </w:p>
    <w:p>
      <w:pPr>
        <w:spacing w:after="120"/>
      </w:pPr>
      <w:r>
        <w:rPr>
          <w:b/>
          <w:bCs/>
          <w:color w:val="111827"/>
        </w:rPr>
        <w:t xml:space="preserve">ADA Section 308 reach-range miss: </w:t>
      </w:r>
      <w:r>
        <w:t xml:space="preserve">Many countertop brewers exceed the 48" reach-range maximum when placed on standard counters. Verify at install.</w:t>
      </w:r>
    </w:p>
    <w:p>
      <w:pPr>
        <w:spacing w:before="400"/>
      </w:pPr>
      <w:r>
        <w:rPr>
          <w:i/>
          <w:iCs/>
          <w:color w:val="6B7280"/>
        </w:rPr>
        <w:t xml:space="preserve">This framework is a working procurement reference. Final RFP + equipment selection should be reviewed by workplace experience leadership, facilities, IT (for activation technology integration), and counsel where the equipment-lease structure requires it. NSF/ANSI 18 + ADA + FALCPA compliance are non-negotiable in modern office coffee programs.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Touchless Office Coffee Framework</dc:title>
  <dc:creator>LetUsVending</dc:creator>
  <dc:description>Technology comparison, equipment specification, OCS operator RFP template, and cleaning protocol</dc:description>
  <cp:lastModifiedBy>Un-named</cp:lastModifiedBy>
  <cp:revision>1</cp:revision>
  <dcterms:created xsi:type="dcterms:W3CDTF">2026-05-17T13:18:10.123Z</dcterms:created>
  <dcterms:modified xsi:type="dcterms:W3CDTF">2026-05-17T13:18:10.124Z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