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Touchless Office Vending RFP Template</w:t>
      </w:r>
    </w:p>
    <w:p>
      <w:pPr>
        <w:spacing w:after="200"/>
      </w:pPr>
      <w:r>
        <w:rPr>
          <w:i/>
          <w:iCs/>
          <w:color w:val="6B7280"/>
        </w:rPr>
        <w:t xml:space="preserve">Operator capability checks, mobile-app + contactless requirements, and SLA scope</w:t>
      </w:r>
    </w:p>
    <w:p>
      <w:pPr>
        <w:spacing w:after="300"/>
      </w:pPr>
      <w:r>
        <w:t xml:space="preserve">Touchless office vending — cashless, contactless, mobile-app activated, refund-by-app — became the standard office vending spec following CDC + NIOSH guidance on surface transmission and the rapid adoption of EMV contactless + mobile-wallet payment. PCI-DSS v4.0 (effective March 2024) tightened the security requirements on the payment ecosystem. This RFP template gives the workplace experience or facilities leader the operator capability checks, the mobile-app + contactless requirements, and the SLA scope needed to issue a defensible RFP.</w:t>
      </w:r>
    </w:p>
    <w:p>
      <w:pPr>
        <w:pStyle w:val="Heading1"/>
        <w:spacing w:after="150" w:before="300"/>
      </w:pPr>
      <w:r>
        <w:t xml:space="preserve">1. Operator capability checks — gating</w:t>
      </w:r>
    </w:p>
    <w:p>
      <w:pPr>
        <w:spacing w:after="200"/>
      </w:pPr>
      <w:r>
        <w:t xml:space="preserve">All gating items are pass/fail. An operator missing any of these is disqualified before scoring.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Cellular telemetry on every placed device (Cantaloupe Seed, Nayax MoMa, 365 Retail Markets, AWM Smart Shelf, or comparable) with heartbeat ≤ 15 minutes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EMV chip + contactless (NFC) payment on every device — PCI-DSS v4.0 attested through the payment vendor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Mobile wallet support — Apple Pay, Google Pay, Samsung Pay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Operator-branded mobile app with refund + reorder capability (or integration with telemetry vendor's app)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flow accessible without front-desk involvement — app, SMS-to-refund number, or web form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Section 308 reach range; Section 305 clear floor space; Section 309.4 operating force ≤ 5 lbf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FALCPA allergen labeling on every SKU + allergen summary signage on the machine face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— CGL $2M minimum aggregate, workers' comp, additional-insured endorsement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Three office references at comparable scale with named workplace experience or facilities contact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Sustainability — ENERGY STAR vending machine certification on refrigerated devices, AIM Act refrigerant compliance</w:t>
      </w:r>
    </w:p>
    <w:p>
      <w:pPr>
        <w:pStyle w:val="Heading1"/>
        <w:spacing w:after="150" w:before="300"/>
      </w:pPr>
      <w:r>
        <w:t xml:space="preserve">2. Mobile-app + contactless functional requirements</w:t>
      </w:r>
    </w:p>
    <w:p>
      <w:pPr>
        <w:spacing w:after="200"/>
      </w:pPr>
      <w:r>
        <w:t xml:space="preserve">Beyond the gating capability checks, the office RFP should specify functional requirements on the user experience. Each requirement is verifiable through an operator demo before contract signing.</w:t>
      </w:r>
    </w:p>
    <w:p>
      <w:pPr>
        <w:spacing w:after="120"/>
      </w:pPr>
      <w:r>
        <w:rPr>
          <w:b/>
          <w:bCs/>
          <w:color w:val="111827"/>
        </w:rPr>
        <w:t xml:space="preserve">Tap-to-pay flow: </w:t>
      </w:r>
      <w:r>
        <w:t xml:space="preserve">User taps phone or contactless card to reader; transaction completes in &lt; 3 seconds; receipt issued via SMS or in-app.</w:t>
      </w:r>
    </w:p>
    <w:p>
      <w:pPr>
        <w:spacing w:after="120"/>
      </w:pPr>
      <w:r>
        <w:rPr>
          <w:b/>
          <w:bCs/>
          <w:color w:val="111827"/>
        </w:rPr>
        <w:t xml:space="preserve">App-initiated purchase: </w:t>
      </w:r>
      <w:r>
        <w:t xml:space="preserve">User scans QR or selects machine in app; reserves a transaction window; pays via stored card or wallet; dispenses on confirmation.</w:t>
      </w:r>
    </w:p>
    <w:p>
      <w:pPr>
        <w:spacing w:after="120"/>
      </w:pPr>
      <w:r>
        <w:rPr>
          <w:b/>
          <w:bCs/>
          <w:color w:val="111827"/>
        </w:rPr>
        <w:t xml:space="preserve">Refund flow: </w:t>
      </w:r>
      <w:r>
        <w:t xml:space="preserve">User submits refund request in app within 24 hours of failed transaction; credit issued to original payment method within 24 hours; cash refund where applicable within 7 days via host HR or building manager.</w:t>
      </w:r>
    </w:p>
    <w:p>
      <w:pPr>
        <w:spacing w:after="120"/>
      </w:pPr>
      <w:r>
        <w:rPr>
          <w:b/>
          <w:bCs/>
          <w:color w:val="111827"/>
        </w:rPr>
        <w:t xml:space="preserve">Reorder + favorites: </w:t>
      </w:r>
      <w:r>
        <w:t xml:space="preserve">User saves favorite SKUs; receives alert when restocked; supports recurring purchases for OCS-style coffee adjacency.</w:t>
      </w:r>
    </w:p>
    <w:p>
      <w:pPr>
        <w:spacing w:after="120"/>
      </w:pPr>
      <w:r>
        <w:rPr>
          <w:b/>
          <w:bCs/>
          <w:color w:val="111827"/>
        </w:rPr>
        <w:t xml:space="preserve">Loyalty + corporate subsidy: </w:t>
      </w:r>
      <w:r>
        <w:t xml:space="preserve">App supports employer-issued subsidy code; subsidies billed to host monthly with transaction-level reconciliation.</w:t>
      </w:r>
    </w:p>
    <w:p>
      <w:pPr>
        <w:spacing w:after="120"/>
      </w:pPr>
      <w:r>
        <w:rPr>
          <w:b/>
          <w:bCs/>
          <w:color w:val="111827"/>
        </w:rPr>
        <w:t xml:space="preserve">Allergen + nutrition transparency: </w:t>
      </w:r>
      <w:r>
        <w:t xml:space="preserve">App displays allergen + nutrition + ingredient list per SKU; FALCPA-compliant; supports FDA Menu Labeling Final Rule disclosure where applicable.</w:t>
      </w:r>
    </w:p>
    <w:p>
      <w:pPr>
        <w:spacing w:after="120"/>
      </w:pPr>
      <w:r>
        <w:rPr>
          <w:b/>
          <w:bCs/>
          <w:color w:val="111827"/>
        </w:rPr>
        <w:t xml:space="preserve">Privacy + data: </w:t>
      </w:r>
      <w:r>
        <w:t xml:space="preserve">PCI-DSS v4.0 attested; user data not shared with third parties beyond payment processor; opt-out from marketing communications.</w:t>
      </w:r>
    </w:p>
    <w:p>
      <w:pPr>
        <w:pStyle w:val="Heading1"/>
        <w:spacing w:after="150" w:before="300"/>
      </w:pPr>
      <w:r>
        <w:t xml:space="preserve">3. SLA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SLA dimension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Remedy</w:t>
            </w:r>
          </w:p>
        </w:tc>
      </w:tr>
      <w:tr>
        <w:tc>
          <w:p>
            <w:r>
              <w:t xml:space="preserve">Per-machine uptime</w:t>
            </w:r>
          </w:p>
        </w:tc>
        <w:tc>
          <w:p>
            <w:r>
              <w:t xml:space="preserve">98% monthly</w:t>
            </w:r>
          </w:p>
        </w:tc>
        <w:tc>
          <w:p>
            <w:r>
              <w:t xml:space="preserve">Telemetry — minutes online / minutes in month</w:t>
            </w:r>
          </w:p>
        </w:tc>
        <w:tc>
          <w:p>
            <w:r>
              <w:t xml:space="preserve">Commission credit &lt; 95%; SIP &lt; 92%; termination right &lt; 90% × 2 mo</w:t>
            </w:r>
          </w:p>
        </w:tc>
      </w:tr>
      <w:tr>
        <w:tc>
          <w:p>
            <w:r>
              <w:t xml:space="preserve">Tier-1 ticket (offline, payment, cold-chain)</w:t>
            </w:r>
          </w:p>
        </w:tc>
        <w:tc>
          <w:p>
            <w:r>
              <w:t xml:space="preserve">Acknowledge &lt; 4 hrs; resolve &lt; 24 hrs</w:t>
            </w:r>
          </w:p>
        </w:tc>
        <w:tc>
          <w:p>
            <w:r>
              <w:t xml:space="preserve">Operator CRM + telemetry</w:t>
            </w:r>
          </w:p>
        </w:tc>
        <w:tc>
          <w:p>
            <w:r>
              <w:t xml:space="preserve">Per-ticket commission credit</w:t>
            </w:r>
          </w:p>
        </w:tc>
      </w:tr>
      <w:tr>
        <w:tc>
          <w:p>
            <w:r>
              <w:t xml:space="preserve">Tier-2 ticket (stockout, planogram refresh)</w:t>
            </w:r>
          </w:p>
        </w:tc>
        <w:tc>
          <w:p>
            <w:r>
              <w:t xml:space="preserve">Acknowledge &lt; 24 hrs; resolve &lt; 5 business days</w:t>
            </w:r>
          </w:p>
        </w:tc>
        <w:tc>
          <w:p>
            <w:r>
              <w:t xml:space="preserve">Operator CRM</w:t>
            </w:r>
          </w:p>
        </w:tc>
        <w:tc>
          <w:p>
            <w:r>
              <w:t xml:space="preserve">QBR-documented</w:t>
            </w:r>
          </w:p>
        </w:tc>
      </w:tr>
      <w:tr>
        <w:tc>
          <w:p>
            <w:r>
              <w:t xml:space="preserve">Refund response</w:t>
            </w:r>
          </w:p>
        </w:tc>
        <w:tc>
          <w:p>
            <w:r>
              <w:t xml:space="preserve">Cashless &lt; 24 hrs via app/SMS; cash &lt; 7 days</w:t>
            </w:r>
          </w:p>
        </w:tc>
        <w:tc>
          <w:p>
            <w:r>
              <w:t xml:space="preserve">Refund log</w:t>
            </w:r>
          </w:p>
        </w:tc>
        <w:tc>
          <w:p>
            <w:r>
              <w:t xml:space="preserve">Refund rate &gt; 2% triggers planogram review</w:t>
            </w:r>
          </w:p>
        </w:tc>
      </w:tr>
      <w:tr>
        <w:tc>
          <w:p>
            <w:r>
              <w:t xml:space="preserve">Cold-chain</w:t>
            </w:r>
          </w:p>
        </w:tc>
        <w:tc>
          <w:p>
            <w:r>
              <w:t xml:space="preserve">Continuous 35-40°F; excursion resolve &lt; 4 hrs</w:t>
            </w:r>
          </w:p>
        </w:tc>
        <w:tc>
          <w:p>
            <w:r>
              <w:t xml:space="preserve">Telemetry temperature feed</w:t>
            </w:r>
          </w:p>
        </w:tc>
        <w:tc>
          <w:p>
            <w:r>
              <w:t xml:space="preserve">Spoiled product replaced</w:t>
            </w:r>
          </w:p>
        </w:tc>
      </w:tr>
      <w:tr>
        <w:tc>
          <w:p>
            <w:r>
              <w:t xml:space="preserve">Restock cadence</w:t>
            </w:r>
          </w:p>
        </w:tc>
        <w:tc>
          <w:p>
            <w:r>
              <w:t xml:space="preserve">Telemetry-driven; minimum weekly</w:t>
            </w:r>
          </w:p>
        </w:tc>
        <w:tc>
          <w:p>
            <w:r>
              <w:t xml:space="preserve">Operator restock log</w:t>
            </w:r>
          </w:p>
        </w:tc>
        <w:tc>
          <w:p>
            <w:r>
              <w:t xml:space="preserve">Stockout rate &gt; 3% triggers cadence review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PCI-DSS v4.0 attestation — what to require</w:t>
      </w:r>
    </w:p>
    <w:p>
      <w:pPr>
        <w:spacing w:after="200"/>
      </w:pPr>
      <w:r>
        <w:t xml:space="preserve">PCI-DSS v4.0 became effective March 31, 2024 with phased compliance requirements. Vending operators rely on their payment vendor for the bulk of compliance; the host should require attestation evidence in the RFP.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Payment-vendor PCI-DSS v4.0 attestation letter (Cantaloupe, Nayax, 365 Retail Markets, USAT, or comparable)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Operator-side SAQ (Self-Assessment Questionnaire) confirming P2PE-validated payment device on the vending fleet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PA-DSS / P2PE program documentation for the payment-terminal hardware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vulnerability scan attestation through an Approved Scanning Vendor where applicable to operator network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Incident-response plan with notification timeline aligned to state breach-notification statutes (e.g., California Civil Code §1798.82)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Data-flow diagram showing where transaction data lives + how long it persists</w:t>
      </w:r>
    </w:p>
    <w:p>
      <w:pPr>
        <w:pStyle w:val="Heading1"/>
        <w:spacing w:after="150" w:before="300"/>
      </w:pPr>
      <w:r>
        <w:t xml:space="preserve">5. RFP response sections</w:t>
      </w:r>
    </w:p>
    <w:p>
      <w:pPr>
        <w:spacing w:after="60" w:before="120"/>
      </w:pPr>
      <w:r>
        <w:rPr>
          <w:b/>
          <w:bCs/>
        </w:rPr>
        <w:t xml:space="preserve">1. Section A — Bidder profile + capability summary</w:t>
      </w:r>
    </w:p>
    <w:p>
      <w:pPr>
        <w:spacing w:after="120"/>
      </w:pPr>
      <w:r>
        <w:t xml:space="preserve">Years in office vending, fleet count, technician geography, telemetry vendor, payment vendor + PCI attestation.</w:t>
      </w:r>
    </w:p>
    <w:p>
      <w:pPr>
        <w:spacing w:after="60" w:before="120"/>
      </w:pPr>
      <w:r>
        <w:rPr>
          <w:b/>
          <w:bCs/>
        </w:rPr>
        <w:t xml:space="preserve">2. Section B — Touchless technology stack</w:t>
      </w:r>
    </w:p>
    <w:p>
      <w:pPr>
        <w:spacing w:after="120"/>
      </w:pPr>
      <w:r>
        <w:t xml:space="preserve">Telemetry vendor + heartbeat, payment vendor + EMV/NFC/mobile-wallet support, app capability + refund flow.</w:t>
      </w:r>
    </w:p>
    <w:p>
      <w:pPr>
        <w:spacing w:after="60" w:before="120"/>
      </w:pPr>
      <w:r>
        <w:rPr>
          <w:b/>
          <w:bCs/>
        </w:rPr>
        <w:t xml:space="preserve">3. Section C — Equipment specification</w:t>
      </w:r>
    </w:p>
    <w:p>
      <w:pPr>
        <w:spacing w:after="120"/>
      </w:pPr>
      <w:r>
        <w:t xml:space="preserve">Per-machine make/model, ENERGY STAR confirmation, refrigerant type, LED + low-power standby, ADA + Section 308 attestation.</w:t>
      </w:r>
    </w:p>
    <w:p>
      <w:pPr>
        <w:spacing w:after="60" w:before="120"/>
      </w:pPr>
      <w:r>
        <w:rPr>
          <w:b/>
          <w:bCs/>
        </w:rPr>
        <w:t xml:space="preserve">4. Section D — SLA + remedies</w:t>
      </w:r>
    </w:p>
    <w:p>
      <w:pPr>
        <w:spacing w:after="120"/>
      </w:pPr>
      <w:r>
        <w:t xml:space="preserve">Match the SLA matrix in Section 3 above; propose deviations with rationale.</w:t>
      </w:r>
    </w:p>
    <w:p>
      <w:pPr>
        <w:spacing w:after="60" w:before="120"/>
      </w:pPr>
      <w:r>
        <w:rPr>
          <w:b/>
          <w:bCs/>
        </w:rPr>
        <w:t xml:space="preserve">5. Section E — Planogram + healthy options</w:t>
      </w:r>
    </w:p>
    <w:p>
      <w:pPr>
        <w:spacing w:after="120"/>
      </w:pPr>
      <w:r>
        <w:t xml:space="preserve">Sample planogram with healthy-options share (typically 35-50% for modern offices), FALCPA allergen labeling, seasonal refresh cadence.</w:t>
      </w:r>
    </w:p>
    <w:p>
      <w:pPr>
        <w:spacing w:after="60" w:before="120"/>
      </w:pPr>
      <w:r>
        <w:rPr>
          <w:b/>
          <w:bCs/>
        </w:rPr>
        <w:t xml:space="preserve">6. Section F — Commercial terms</w:t>
      </w:r>
    </w:p>
    <w:p>
      <w:pPr>
        <w:spacing w:after="120"/>
      </w:pPr>
      <w:r>
        <w:t xml:space="preserve">Commission rate, calculation method, payment cadence, audit right, equipment investment, refresh cycle, term + renewal.</w:t>
      </w:r>
    </w:p>
    <w:p>
      <w:pPr>
        <w:spacing w:after="60" w:before="120"/>
      </w:pPr>
      <w:r>
        <w:rPr>
          <w:b/>
          <w:bCs/>
        </w:rPr>
        <w:t xml:space="preserve">7. Section G — Implementation + change management</w:t>
      </w:r>
    </w:p>
    <w:p>
      <w:pPr>
        <w:spacing w:after="120"/>
      </w:pPr>
      <w:r>
        <w:t xml:space="preserve">Equipment-install schedule, app onboarding, telemetry activation, refund-flow training, communications to building tenants.</w:t>
      </w:r>
    </w:p>
    <w:p>
      <w:pPr>
        <w:spacing w:after="60" w:before="120"/>
      </w:pPr>
      <w:r>
        <w:rPr>
          <w:b/>
          <w:bCs/>
        </w:rPr>
        <w:t xml:space="preserve">8. Section H — References + sustainability</w:t>
      </w:r>
    </w:p>
    <w:p>
      <w:pPr>
        <w:spacing w:after="120"/>
      </w:pPr>
      <w:r>
        <w:t xml:space="preserve">Three office references with workplace experience or facilities contact; ENERGY STAR commitment + AIM Act refrigerant compliance.</w:t>
      </w:r>
    </w:p>
    <w:p>
      <w:pPr>
        <w:pStyle w:val="Heading1"/>
        <w:spacing w:after="150" w:before="300"/>
      </w:pPr>
      <w:r>
        <w:t xml:space="preserve">6. Common gaps in touchless office RFPs</w:t>
      </w:r>
    </w:p>
    <w:p>
      <w:pPr>
        <w:spacing w:after="120"/>
      </w:pPr>
      <w:r>
        <w:rPr>
          <w:b/>
          <w:bCs/>
          <w:color w:val="111827"/>
        </w:rPr>
        <w:t xml:space="preserve">No mobile-app refund flow: </w:t>
      </w:r>
      <w:r>
        <w:t xml:space="preserve">Cash-refund-only refund mechanisms drive tenant frustration. Specify app + SMS refund as required.</w:t>
      </w:r>
    </w:p>
    <w:p>
      <w:pPr>
        <w:spacing w:after="120"/>
      </w:pPr>
      <w:r>
        <w:rPr>
          <w:b/>
          <w:bCs/>
          <w:color w:val="111827"/>
        </w:rPr>
        <w:t xml:space="preserve">Telemetry self-reported, not exportable: </w:t>
      </w:r>
      <w:r>
        <w:t xml:space="preserve">Without telemetry export, host cannot verify SLA. Require daily CSV / API export.</w:t>
      </w:r>
    </w:p>
    <w:p>
      <w:pPr>
        <w:spacing w:after="120"/>
      </w:pPr>
      <w:r>
        <w:rPr>
          <w:b/>
          <w:bCs/>
          <w:color w:val="111827"/>
        </w:rPr>
        <w:t xml:space="preserve">PCI-DSS v3.2.1 (sunset): </w:t>
      </w:r>
      <w:r>
        <w:t xml:space="preserve">PCI-DSS v3.2.1 retired March 31, 2024. Require v4.0 attestation; do not accept legacy attestation letters.</w:t>
      </w:r>
    </w:p>
    <w:p>
      <w:pPr>
        <w:spacing w:after="120"/>
      </w:pPr>
      <w:r>
        <w:rPr>
          <w:b/>
          <w:bCs/>
          <w:color w:val="111827"/>
        </w:rPr>
        <w:t xml:space="preserve">No ADA Section 308 attestation: </w:t>
      </w:r>
      <w:r>
        <w:t xml:space="preserve">Office vending placements often miss reach range on deck-style machines. Require per-device attestation at install + annual reattestation.</w:t>
      </w:r>
    </w:p>
    <w:p>
      <w:pPr>
        <w:spacing w:after="120"/>
      </w:pPr>
      <w:r>
        <w:rPr>
          <w:b/>
          <w:bCs/>
          <w:color w:val="111827"/>
        </w:rPr>
        <w:t xml:space="preserve">Healthy options unmeasured: </w:t>
      </w:r>
      <w:r>
        <w:t xml:space="preserve">Most modern offices target 35-50% healthy-options share. Without an SKU-level commitment, the planogram regresses to soda + chip dominance within 6 months.</w:t>
      </w:r>
    </w:p>
    <w:p>
      <w:pPr>
        <w:spacing w:before="400"/>
      </w:pPr>
      <w:r>
        <w:rPr>
          <w:i/>
          <w:iCs/>
          <w:color w:val="6B7280"/>
        </w:rPr>
        <w:t xml:space="preserve">This RFP template is a working procurement reference. Final RFP + contract should be reviewed by workplace experience leadership, facilities, IT (for telemetry + payment ecosystem integration), and counsel. PCI-DSS v4.0 attestation + ADA Section 308 + telemetry export + mobile-app refund flow are the four most-gapped items in modern office vending RFPs.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Touchless Office Vending RFP Template</dc:title>
  <dc:creator>LetUsVending</dc:creator>
  <dc:description>Operator capability checks, mobile-app + contactless requirements, and SLA scope</dc:description>
  <cp:lastModifiedBy>Un-named</cp:lastModifiedBy>
  <cp:revision>1</cp:revision>
  <dcterms:created xsi:type="dcterms:W3CDTF">2026-05-17T13:18:10.177Z</dcterms:created>
  <dcterms:modified xsi:type="dcterms:W3CDTF">2026-05-17T13:18:10.178Z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