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Service Contract Review Framework — 12 Dimensions</w:t>
      </w:r>
    </w:p>
    <w:p>
      <w:pPr>
        <w:spacing w:after="200"/>
      </w:pPr>
      <w:r>
        <w:rPr>
          <w:i/>
          <w:iCs/>
          <w:color w:val="6B7280"/>
        </w:rPr>
        <w:t xml:space="preserve">Attorney-style review checklist for term, commission, service, technology, insurance, indemnity, and exit</w:t>
      </w:r>
    </w:p>
    <w:p>
      <w:pPr>
        <w:spacing w:after="300"/>
      </w:pPr>
      <w:r>
        <w:t xml:space="preserve">Use this checklist as a working overlay on top of a draft vending services agreement. Each dimension reflects a clause family that appears in standard NAMA / IFMA-style contracts. Mark each item as Verified (with written attestation), Acceptable (with caveats), or Reject — and require written confirmation on every Verified line.</w:t>
      </w:r>
    </w:p>
    <w:p>
      <w:pPr>
        <w:pStyle w:val="Heading1"/>
        <w:spacing w:after="150" w:before="300"/>
      </w:pPr>
      <w:r>
        <w:t xml:space="preserve">1. Parties, premises, and scope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Parties identified with full legal names, entity types, and signing authority verified (corporate resolution or COI of LLC manager).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Premises described by address, building, and specific machine locations (alcove / break room / floor).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Scope identifies machine count, machine types (snack, beverage, fresh, combo, micro-market), and any phased rollout dates.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Excluded categories listed (coffee, OCS, water service, micro-market) so cross-vendor disputes are pre-resolved.</w:t>
      </w:r>
    </w:p>
    <w:p>
      <w:pPr>
        <w:pStyle w:val="Heading1"/>
        <w:spacing w:after="150" w:before="300"/>
      </w:pPr>
      <w:r>
        <w:t xml:space="preserve">2. Term, renewal, and notice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term ≤ 36 months for first contract; renewal terms ≤ 12 months unless mutual written consent.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Automatic renewal flagged; affirmative non-renewal notice window 60-90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Termination-for-convenience window defined for both parties (30-90 days typical).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Assignment requires prior written consent (avoid silent transfer to a successor operator).</w:t>
      </w:r>
    </w:p>
    <w:p>
      <w:pPr>
        <w:pStyle w:val="Heading1"/>
        <w:spacing w:after="150" w:before="300"/>
      </w:pPr>
      <w:r>
        <w:t xml:space="preserve">3. Commission and revenue share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base defined (gross vs. net), with net deductions enumerated (sales tax, processing fees, refunds, shrink).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Commission rate stated by tier, with sales thresholds and rate schedules attached as Exhibit 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cadence (monthly) and method (ACH preferred over check) defined; late-payment interest specified.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Audit rights: host may inspect operator sales records, telemetry exports, and processor settlement reports with reasonable notice.</w:t>
      </w:r>
    </w:p>
    <w:p>
      <w:pPr>
        <w:pStyle w:val="Heading1"/>
        <w:spacing w:after="150" w:before="300"/>
      </w:pPr>
      <w:r>
        <w:t xml:space="preserve">4. Pricing, planogram, and product mix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Retail pricing schedule attached; price changes require written notice (30 days typical) and tied to CPI or commodity index.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Planogram review cadence (quarterly) and host approval rights for material category changes.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Healthy-options standard referenced (FITPick, USDA Smart Snacks, state DGS, or facility-defined nutrition policy).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Allergen labeling per FALCPA and disclosure obligations spelled out.</w:t>
      </w:r>
    </w:p>
    <w:p>
      <w:pPr>
        <w:pStyle w:val="Heading1"/>
        <w:spacing w:after="150" w:before="300"/>
      </w:pPr>
      <w:r>
        <w:t xml:space="preserve">5. Service level agreement (SLA)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Uptime target ≥ 98% on a per-machine, per-month basis.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Restock cadence linked to telemetry thresholds rather than fixed calendar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ticket tiers defined (Tier 1 machine down / Tier 2 stockout / Tier 3 cosmetic) with explicit acknowledgement and resolution SLAs.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Credits or remedies for sustained SLA failure (e.g., commission uplift, machine replacement, contract termination right).</w:t>
      </w:r>
    </w:p>
    <w:p>
      <w:pPr>
        <w:pStyle w:val="Heading1"/>
        <w:spacing w:after="150" w:before="300"/>
      </w:pPr>
      <w:r>
        <w:t xml:space="preserve">6. Technology, payment, and data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acceptance baseline: tap, mobile wallet, and major card networks (Visa, Mastercard, AmEx, Discover).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 DSS attestation (current version) with appropriate SAQ form; AOC available on request.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Data ownership clause: host receives read access to per-machine telemetry; operator owns payment-instrument data subject to PCI obligations.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Breach notification SLA aligned with applicable state law (often 72 hours) and contractual notice.</w:t>
      </w:r>
    </w:p>
    <w:p>
      <w:pPr>
        <w:pStyle w:val="Heading1"/>
        <w:spacing w:after="150" w:before="300"/>
      </w:pPr>
      <w:r>
        <w:t xml:space="preserve">7. Insurance and additional insured status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CGL $1M/$2M, products/completed ops $2M, auto $1M CSL, workers' comp statutory + employer's liability $1M, umbrella ≥ $5M (raise for airports/hospitals).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named additional insured on primary, non-contributory basis (CG 20 10 + CG 20 37 or equivalent), with waiver of subrogation.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Cyber liability ≥ $1M where operator handles cashless transactions, telemetry, or app PII.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 received before install and at each renewal; 30-day cancellation notice endorsement included.</w:t>
      </w:r>
    </w:p>
    <w:p>
      <w:pPr>
        <w:pStyle w:val="Heading1"/>
        <w:spacing w:after="150" w:before="300"/>
      </w:pPr>
      <w:r>
        <w:t xml:space="preserve">8. Indemnity and limitation of liability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Mutual indemnity for each party's negligence, with carve-outs for sole negligence and gross negligence.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defends host with counsel acceptable to host, not merely reimburses defense costs.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Limitation of liability caps carve out indemnity obligations, IP infringement, confidentiality, and willful misconduct.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Indemnity survives termination for the applicable statute of limitations.</w:t>
      </w:r>
    </w:p>
    <w:p>
      <w:pPr>
        <w:pStyle w:val="Heading1"/>
        <w:spacing w:after="150" w:before="300"/>
      </w:pPr>
      <w:r>
        <w:t xml:space="preserve">9. Compliance, ADA, and licensing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III + Section 308 reach range, clear floor space, and operating force attested.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Health department permits, food-handler certifications, and applicable state vending licenses listed.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Energy Star / EISA tiered standards attested for refrigerated machines where applicable.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Tax responsibility allocated: operator collects and remits applicable sales tax; commission paid net of tax where required.</w:t>
      </w:r>
    </w:p>
    <w:p>
      <w:pPr>
        <w:pStyle w:val="Heading1"/>
        <w:spacing w:after="150" w:before="300"/>
      </w:pPr>
      <w:r>
        <w:t xml:space="preserve">10. Confidentiality and IP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Mutual confidentiality covers commercial terms, sales data, and operator pricing schedules.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Host marks / logos use governed by a brand-use addendum; operator may not advertise the host as a customer without written consent.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data and aggregated benchmarks: operator may use de-identified aggregates; host PII and identifiable site data remain host-owned.</w:t>
      </w:r>
    </w:p>
    <w:p>
      <w:pPr>
        <w:pStyle w:val="Heading1"/>
        <w:spacing w:after="150" w:before="300"/>
      </w:pPr>
      <w:r>
        <w:t xml:space="preserve">11. Force majeure and continuity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Force majeure defined narrowly — pandemics, natural disasters, government orders — not generic 'beyond reasonable control' language.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Notice obligation during force majeure (e.g., 5 business days) and a continuity plan reference.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Either party may terminate if force majeure persists beyond a defined window (90-180 days typical).</w:t>
      </w:r>
    </w:p>
    <w:p>
      <w:pPr>
        <w:pStyle w:val="Heading1"/>
        <w:spacing w:after="150" w:before="300"/>
      </w:pPr>
      <w:r>
        <w:t xml:space="preserve">12. Termination, exit, and dispute resolution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Termination-for-cause triggers enumerated (SLA failure, COI lapse, breach of indemnity, recall failure, payment default).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Machine removal SLA (e.g., 14 days post-termination), restoration of floor, electrical, and signage at operator cost.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Cooperation with successor operator: data export, planogram handover, transition period (30 days typical).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Dispute resolution venue, choice of law, and arbitration vs. court litigation specified.</w:t>
      </w:r>
    </w:p>
    <w:p>
      <w:pPr>
        <w:spacing w:before="400"/>
      </w:pPr>
      <w:r>
        <w:rPr>
          <w:i/>
          <w:iCs/>
          <w:color w:val="6B7280"/>
        </w:rPr>
        <w:t xml:space="preserve">This 12-dimension framework is informational and not legal advice. Coordinate the final review with counsel before signing. LetUsVending can connect you with operators equipped to attest to each dimension in writing — request a side-by-side capability matrix to compare candidates.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Service Contract Review Framework — 12 Dimensions</dc:title>
  <dc:creator>LetUsVending</dc:creator>
  <dc:description>Attorney-style review checklist for term, commission, service, technology, insurance, indemnity, and exit</dc:description>
  <cp:lastModifiedBy>Un-named</cp:lastModifiedBy>
  <cp:revision>1</cp:revision>
  <dcterms:created xsi:type="dcterms:W3CDTF">2026-05-17T13:18:10.254Z</dcterms:created>
  <dcterms:modified xsi:type="dcterms:W3CDTF">2026-05-17T13:18:10.255Z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