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University Vending Procurement Framework</w:t>
      </w:r>
    </w:p>
    <w:p>
      <w:pPr>
        <w:spacing w:after="200"/>
      </w:pPr>
      <w:r>
        <w:rPr>
          <w:i/>
          <w:iCs/>
          <w:color w:val="6B7280"/>
        </w:rPr>
        <w:t xml:space="preserve">RFP template, evaluation rubric, and contract terms for higher-education auxiliary services</w:t>
      </w:r>
    </w:p>
    <w:p>
      <w:pPr>
        <w:spacing w:after="300"/>
      </w:pPr>
      <w:r>
        <w:t xml:space="preserve">University vending procurement is governed by state procurement code (typically aligned to Uniform Guidance 2 CFR Part 200), institution board policy, AASHE STARS sustainability commitments, Title IX program accessibility on campus, and ADA Title II reach-range and clear-floor-space standards. This framework gives the auxiliary services office + procurement + sustainability office a defensible RFP template, an evaluation rubric, and contract terms the board can adopt.</w:t>
      </w:r>
    </w:p>
    <w:p>
      <w:pPr>
        <w:pStyle w:val="Heading1"/>
        <w:spacing w:after="150" w:before="300"/>
      </w:pPr>
      <w:r>
        <w:t xml:space="preserve">1. Pre-RFP scope definition</w:t>
      </w:r>
    </w:p>
    <w:p>
      <w:pPr>
        <w:spacing w:after="200"/>
      </w:pPr>
      <w:r>
        <w:t xml:space="preserve">Before issuing the RFP, the auxiliary services office defines scope explicitly. Most disputes in higher-ed vending procurement trace to scope gaps between vending, micro-markets, OCS (office coffee), and the campus dining contract.</w:t>
      </w:r>
    </w:p>
    <w:p>
      <w:pPr>
        <w:spacing w:after="120"/>
      </w:pPr>
      <w:r>
        <w:rPr>
          <w:b/>
          <w:bCs/>
          <w:color w:val="111827"/>
        </w:rPr>
        <w:t xml:space="preserve">Equipment in scope: </w:t>
      </w:r>
      <w:r>
        <w:t xml:space="preserve">List every building + every floor + every break room with current or proposed vending. Specify combo, snack, beverage, hot-beverage, AI cooler, micro-market by location.</w:t>
      </w:r>
    </w:p>
    <w:p>
      <w:pPr>
        <w:spacing w:after="120"/>
      </w:pPr>
      <w:r>
        <w:rPr>
          <w:b/>
          <w:bCs/>
          <w:color w:val="111827"/>
        </w:rPr>
        <w:t xml:space="preserve">Equipment out of scope: </w:t>
      </w:r>
      <w:r>
        <w:t xml:space="preserve">Campus dining contract devices (typically Aramark, Chartwells, Sodexo, Compass, Bon Appétit). Athletic concession devices. Hospital devices on academic-medical-center campuses.</w:t>
      </w:r>
    </w:p>
    <w:p>
      <w:pPr>
        <w:spacing w:after="120"/>
      </w:pPr>
      <w:r>
        <w:rPr>
          <w:b/>
          <w:bCs/>
          <w:color w:val="111827"/>
        </w:rPr>
        <w:t xml:space="preserve">Geography: </w:t>
      </w:r>
      <w:r>
        <w:t xml:space="preserve">Main campus + satellite campuses + housing + research buildings. Confirm coverage of off-campus institution-owned property.</w:t>
      </w:r>
    </w:p>
    <w:p>
      <w:pPr>
        <w:spacing w:after="120"/>
      </w:pPr>
      <w:r>
        <w:rPr>
          <w:b/>
          <w:bCs/>
          <w:color w:val="111827"/>
        </w:rPr>
        <w:t xml:space="preserve">Cohorts served: </w:t>
      </w:r>
      <w:r>
        <w:t xml:space="preserve">Undergraduate, graduate, faculty/staff, visitors, conference attendees. Each cohort has different price sensitivity + planogram preference.</w:t>
      </w:r>
    </w:p>
    <w:p>
      <w:pPr>
        <w:spacing w:after="120"/>
      </w:pPr>
      <w:r>
        <w:rPr>
          <w:b/>
          <w:bCs/>
          <w:color w:val="111827"/>
        </w:rPr>
        <w:t xml:space="preserve">Beverage pouring-rights coordination: </w:t>
      </w:r>
      <w:r>
        <w:t xml:space="preserve">Most universities have an exclusive pouring-rights contract with Coca-Cola or PepsiCo. Vending RFP must align — typically by reference to the pouring contract.</w:t>
      </w:r>
    </w:p>
    <w:p>
      <w:pPr>
        <w:pStyle w:val="Heading1"/>
        <w:spacing w:after="150" w:before="300"/>
      </w:pPr>
      <w:r>
        <w:t xml:space="preserve">2. RFP template — required sections</w:t>
      </w:r>
    </w:p>
    <w:p>
      <w:pPr>
        <w:spacing w:after="60" w:before="120"/>
      </w:pPr>
      <w:r>
        <w:rPr>
          <w:b/>
          <w:bCs/>
        </w:rPr>
        <w:t xml:space="preserve">1. Section A — Solicitation summary</w:t>
      </w:r>
    </w:p>
    <w:p>
      <w:pPr>
        <w:spacing w:after="120"/>
      </w:pPr>
      <w:r>
        <w:t xml:space="preserve">Institution name + tax ID, procurement officer + contact, response deadline, format requirements, evaluation timeline, board-approval requirement.</w:t>
      </w:r>
    </w:p>
    <w:p>
      <w:pPr>
        <w:spacing w:after="60" w:before="120"/>
      </w:pPr>
      <w:r>
        <w:rPr>
          <w:b/>
          <w:bCs/>
        </w:rPr>
        <w:t xml:space="preserve">2. Section B — Scope + equipment list</w:t>
      </w:r>
    </w:p>
    <w:p>
      <w:pPr>
        <w:spacing w:after="120"/>
      </w:pPr>
      <w:r>
        <w:t xml:space="preserve">Building-by-building equipment schedule, telemetry requirement, payment ecosystem (EMV chip + contactless + mobile wallet + campus card integration).</w:t>
      </w:r>
    </w:p>
    <w:p>
      <w:pPr>
        <w:spacing w:after="60" w:before="120"/>
      </w:pPr>
      <w:r>
        <w:rPr>
          <w:b/>
          <w:bCs/>
        </w:rPr>
        <w:t xml:space="preserve">3. Section C — Bidder qualifications + gating</w:t>
      </w:r>
    </w:p>
    <w:p>
      <w:pPr>
        <w:spacing w:after="120"/>
      </w:pPr>
      <w:r>
        <w:t xml:space="preserve">Minimum years in business, three higher-ed references at comparable scale, insurance ($2M CGL minimum), state debarment screen clean, OFAC clean, e-Verify attestation.</w:t>
      </w:r>
    </w:p>
    <w:p>
      <w:pPr>
        <w:spacing w:after="60" w:before="120"/>
      </w:pPr>
      <w:r>
        <w:rPr>
          <w:b/>
          <w:bCs/>
        </w:rPr>
        <w:t xml:space="preserve">4. Section D — Sustainability requirements</w:t>
      </w:r>
    </w:p>
    <w:p>
      <w:pPr>
        <w:spacing w:after="120"/>
      </w:pPr>
      <w:r>
        <w:t xml:space="preserve">ENERGY STAR fleet share, AIM Act refrigerant compliance, packaging recyclability share, local + organic + fair-trade planogram share, AASHE STARS reporting alignment.</w:t>
      </w:r>
    </w:p>
    <w:p>
      <w:pPr>
        <w:spacing w:after="60" w:before="120"/>
      </w:pPr>
      <w:r>
        <w:rPr>
          <w:b/>
          <w:bCs/>
        </w:rPr>
        <w:t xml:space="preserve">5. Section E — SLA + telemetry</w:t>
      </w:r>
    </w:p>
    <w:p>
      <w:pPr>
        <w:spacing w:after="120"/>
      </w:pPr>
      <w:r>
        <w:t xml:space="preserve">97-98% uptime, tier-1 &lt; 24 hr, refund &lt; 24 hr cashless, cold-chain &lt; 4 hr, telemetry vendor + heartbeat + data export.</w:t>
      </w:r>
    </w:p>
    <w:p>
      <w:pPr>
        <w:spacing w:after="60" w:before="120"/>
      </w:pPr>
      <w:r>
        <w:rPr>
          <w:b/>
          <w:bCs/>
        </w:rPr>
        <w:t xml:space="preserve">6. Section F — Accessibility + compliance</w:t>
      </w:r>
    </w:p>
    <w:p>
      <w:pPr>
        <w:spacing w:after="120"/>
      </w:pPr>
      <w:r>
        <w:t xml:space="preserve">ADA Title II + Section 308 attestation per device, FALCPA allergen labeling, FDA Menu Labeling where applicable, Section 508 for digital interfaces on touchscreen devices.</w:t>
      </w:r>
    </w:p>
    <w:p>
      <w:pPr>
        <w:spacing w:after="60" w:before="120"/>
      </w:pPr>
      <w:r>
        <w:rPr>
          <w:b/>
          <w:bCs/>
        </w:rPr>
        <w:t xml:space="preserve">7. Section G — Commission + financial</w:t>
      </w:r>
    </w:p>
    <w:p>
      <w:pPr>
        <w:spacing w:after="120"/>
      </w:pPr>
      <w:r>
        <w:t xml:space="preserve">Commission rate, calculation method, payment cadence, audit right, equipment investment, refresh cycle, term + renewal.</w:t>
      </w:r>
    </w:p>
    <w:p>
      <w:pPr>
        <w:spacing w:after="60" w:before="120"/>
      </w:pPr>
      <w:r>
        <w:rPr>
          <w:b/>
          <w:bCs/>
        </w:rPr>
        <w:t xml:space="preserve">8. Section H — Implementation + transition</w:t>
      </w:r>
    </w:p>
    <w:p>
      <w:pPr>
        <w:spacing w:after="120"/>
      </w:pPr>
      <w:r>
        <w:t xml:space="preserve">Equipment-install schedule, telemetry activation, planogram development, training of campus partners, transition cooperation with outgoing operator.</w:t>
      </w:r>
    </w:p>
    <w:p>
      <w:pPr>
        <w:pStyle w:val="Heading1"/>
        <w:spacing w:after="150" w:before="300"/>
      </w:pPr>
      <w:r>
        <w:t xml:space="preserve">3. Evaluation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SLA + telemetry capability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Uptime, ticket SLA, telemetry vendor, data export, audit right</w:t>
            </w:r>
          </w:p>
        </w:tc>
      </w:tr>
      <w:tr>
        <w:tc>
          <w:p>
            <w:r>
              <w:t xml:space="preserve">Sustainability commitments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ENERGY STAR, refrigerants, planogram + packaging, STARS alignment</w:t>
            </w:r>
          </w:p>
        </w:tc>
      </w:tr>
      <w:tr>
        <w:tc>
          <w:p>
            <w:r>
              <w:t xml:space="preserve">Compliance + accessibility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ADA, FALCPA, Section 508, insurance, background checks</w:t>
            </w:r>
          </w:p>
        </w:tc>
      </w:tr>
      <w:tr>
        <w:tc>
          <w:p>
            <w:r>
              <w:t xml:space="preserve">Commission + financial terms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Commission rate, equipment investment, refresh cycle</w:t>
            </w:r>
          </w:p>
        </w:tc>
      </w:tr>
      <w:tr>
        <w:tc>
          <w:p>
            <w:r>
              <w:t xml:space="preserve">References + capability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Reachable references, footprint, staffing</w:t>
            </w:r>
          </w:p>
        </w:tc>
      </w:tr>
      <w:tr>
        <w:tc>
          <w:p>
            <w:r>
              <w:t xml:space="preserve">Implementation plan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Schedule, training, change management</w:t>
            </w:r>
          </w:p>
        </w:tc>
      </w:tr>
      <w:tr>
        <w:tc>
          <w:p>
            <w:r>
              <w:t xml:space="preserve">Community + local impact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Local sourcing, student-employment, sustainability research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Contract terms — university-specific clauses</w:t>
      </w:r>
    </w:p>
    <w:p>
      <w:pPr>
        <w:spacing w:after="200"/>
      </w:pPr>
      <w:r>
        <w:t xml:space="preserve">In addition to standard vending location agreement clauses, university contracts typically add the items below. Coordinate with institution counsel + procurement.</w:t>
      </w:r>
    </w:p>
    <w:p>
      <w:pPr>
        <w:spacing w:after="120"/>
      </w:pPr>
      <w:r>
        <w:rPr>
          <w:b/>
          <w:bCs/>
          <w:color w:val="111827"/>
        </w:rPr>
        <w:t xml:space="preserve">Board-approval rider: </w:t>
      </w:r>
      <w:r>
        <w:t xml:space="preserve">Contracts exceeding the procurement threshold (typically $100K-$500K aggregate by state code) require board approval. Reserve the contingency in the contract.</w:t>
      </w:r>
    </w:p>
    <w:p>
      <w:pPr>
        <w:spacing w:after="120"/>
      </w:pPr>
      <w:r>
        <w:rPr>
          <w:b/>
          <w:bCs/>
          <w:color w:val="111827"/>
        </w:rPr>
        <w:t xml:space="preserve">Campus-card integration: </w:t>
      </w:r>
      <w:r>
        <w:t xml:space="preserve">Vending payment accepts the campus card (Blackboard Transact, CBORD, TouchNet, etc.). Operator manages POS integration; institution retains data ownership.</w:t>
      </w:r>
    </w:p>
    <w:p>
      <w:pPr>
        <w:spacing w:after="120"/>
      </w:pPr>
      <w:r>
        <w:rPr>
          <w:b/>
          <w:bCs/>
          <w:color w:val="111827"/>
        </w:rPr>
        <w:t xml:space="preserve">FERPA on campus-card: </w:t>
      </w:r>
      <w:r>
        <w:t xml:space="preserve">Where campus card includes student PII, FERPA limits what the operator may access. Transaction ID only; no name or demographic data.</w:t>
      </w:r>
    </w:p>
    <w:p>
      <w:pPr>
        <w:spacing w:after="120"/>
      </w:pPr>
      <w:r>
        <w:rPr>
          <w:b/>
          <w:bCs/>
          <w:color w:val="111827"/>
        </w:rPr>
        <w:t xml:space="preserve">Title IX accessibility on campus: </w:t>
      </w:r>
      <w:r>
        <w:t xml:space="preserve">Vending placements in athletic facilities + recreation centers must meet Title IX program accessibility under 34 CFR 106.41.</w:t>
      </w:r>
    </w:p>
    <w:p>
      <w:pPr>
        <w:spacing w:after="120"/>
      </w:pPr>
      <w:r>
        <w:rPr>
          <w:b/>
          <w:bCs/>
          <w:color w:val="111827"/>
        </w:rPr>
        <w:t xml:space="preserve">Sustainability + STARS alignment: </w:t>
      </w:r>
      <w:r>
        <w:t xml:space="preserve">Operator commits to quarterly STARS-aligned scorecard; annual narrative submitted by Jan 15 to support institution reporting cycle.</w:t>
      </w:r>
    </w:p>
    <w:p>
      <w:pPr>
        <w:spacing w:after="120"/>
      </w:pPr>
      <w:r>
        <w:rPr>
          <w:b/>
          <w:bCs/>
          <w:color w:val="111827"/>
        </w:rPr>
        <w:t xml:space="preserve">Pouring-rights coordination: </w:t>
      </w:r>
      <w:r>
        <w:t xml:space="preserve">Vending beverage planogram aligns with the institution's pouring-rights contract (typically Coca-Cola or PepsiCo). Cross-reference in the contract.</w:t>
      </w:r>
    </w:p>
    <w:p>
      <w:pPr>
        <w:spacing w:after="120"/>
      </w:pPr>
      <w:r>
        <w:rPr>
          <w:b/>
          <w:bCs/>
          <w:color w:val="111827"/>
        </w:rPr>
        <w:t xml:space="preserve">Research data sharing: </w:t>
      </w:r>
      <w:r>
        <w:t xml:space="preserve">Operator commits to making aggregate telemetry data available for faculty + student research projects under the institution's data-governance policy.</w:t>
      </w:r>
    </w:p>
    <w:p>
      <w:pPr>
        <w:spacing w:after="120"/>
      </w:pPr>
      <w:r>
        <w:rPr>
          <w:b/>
          <w:bCs/>
          <w:color w:val="111827"/>
        </w:rPr>
        <w:t xml:space="preserve">Revenue allocation transparency: </w:t>
      </w:r>
      <w:r>
        <w:t xml:space="preserve">Where vending revenue is allocated to student programs (athletics, library, scholarships), the allocation policy is referenced in the contract.</w:t>
      </w:r>
    </w:p>
    <w:p>
      <w:pPr>
        <w:pStyle w:val="Heading1"/>
        <w:spacing w:after="150" w:before="300"/>
      </w:pPr>
      <w:r>
        <w:t xml:space="preserve">5. 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Outputs</w:t>
            </w:r>
          </w:p>
        </w:tc>
      </w:tr>
      <w:tr>
        <w:tc>
          <w:p>
            <w:r>
              <w:t xml:space="preserve">RFP development</w:t>
            </w:r>
          </w:p>
        </w:tc>
        <w:tc>
          <w:p>
            <w:r>
              <w:t xml:space="preserve">6-8 weeks</w:t>
            </w:r>
          </w:p>
        </w:tc>
        <w:tc>
          <w:p>
            <w:r>
              <w:t xml:space="preserve">Procurement + auxiliary services + sustainability</w:t>
            </w:r>
          </w:p>
        </w:tc>
        <w:tc>
          <w:p>
            <w:r>
              <w:t xml:space="preserve">Final RFP + evaluation rubric + board memo</w:t>
            </w:r>
          </w:p>
        </w:tc>
      </w:tr>
      <w:tr>
        <w:tc>
          <w:p>
            <w:r>
              <w:t xml:space="preserve">RFP issuance + Q&amp;A</w:t>
            </w:r>
          </w:p>
        </w:tc>
        <w:tc>
          <w:p>
            <w:r>
              <w:t xml:space="preserve">4-6 weeks</w:t>
            </w:r>
          </w:p>
        </w:tc>
        <w:tc>
          <w:p>
            <w:r>
              <w:t xml:space="preserve">Procurement</w:t>
            </w:r>
          </w:p>
        </w:tc>
        <w:tc>
          <w:p>
            <w:r>
              <w:t xml:space="preserve">Posted RFP + addenda + Q&amp;A log</w:t>
            </w:r>
          </w:p>
        </w:tc>
      </w:tr>
      <w:tr>
        <w:tc>
          <w:p>
            <w:r>
              <w:t xml:space="preserve">Response window</w:t>
            </w:r>
          </w:p>
        </w:tc>
        <w:tc>
          <w:p>
            <w:r>
              <w:t xml:space="preserve">4-6 weeks</w:t>
            </w:r>
          </w:p>
        </w:tc>
        <w:tc>
          <w:p>
            <w:r>
              <w:t xml:space="preserve">Bidders</w:t>
            </w:r>
          </w:p>
        </w:tc>
        <w:tc>
          <w:p>
            <w:r>
              <w:t xml:space="preserve">Submitted responses</w:t>
            </w:r>
          </w:p>
        </w:tc>
      </w:tr>
      <w:tr>
        <w:tc>
          <w:p>
            <w:r>
              <w:t xml:space="preserve">Evaluation + interview</w:t>
            </w:r>
          </w:p>
        </w:tc>
        <w:tc>
          <w:p>
            <w:r>
              <w:t xml:space="preserve">3-4 weeks</w:t>
            </w:r>
          </w:p>
        </w:tc>
        <w:tc>
          <w:p>
            <w:r>
              <w:t xml:space="preserve">Evaluation committee</w:t>
            </w:r>
          </w:p>
        </w:tc>
        <w:tc>
          <w:p>
            <w:r>
              <w:t xml:space="preserve">Scored rubric + interview notes + recommendation</w:t>
            </w:r>
          </w:p>
        </w:tc>
      </w:tr>
      <w:tr>
        <w:tc>
          <w:p>
            <w:r>
              <w:t xml:space="preserve">Board approval</w:t>
            </w:r>
          </w:p>
        </w:tc>
        <w:tc>
          <w:p>
            <w:r>
              <w:t xml:space="preserve">1-2 board cycles</w:t>
            </w:r>
          </w:p>
        </w:tc>
        <w:tc>
          <w:p>
            <w:r>
              <w:t xml:space="preserve">Auxiliary services + procurement</w:t>
            </w:r>
          </w:p>
        </w:tc>
        <w:tc>
          <w:p>
            <w:r>
              <w:t xml:space="preserve">Board resolution</w:t>
            </w:r>
          </w:p>
        </w:tc>
      </w:tr>
      <w:tr>
        <w:tc>
          <w:p>
            <w:r>
              <w:t xml:space="preserve">Contract negotiation</w:t>
            </w:r>
          </w:p>
        </w:tc>
        <w:tc>
          <w:p>
            <w:r>
              <w:t xml:space="preserve">4-6 weeks</w:t>
            </w:r>
          </w:p>
        </w:tc>
        <w:tc>
          <w:p>
            <w:r>
              <w:t xml:space="preserve">Procurement + counsel + winning bidder</w:t>
            </w:r>
          </w:p>
        </w:tc>
        <w:tc>
          <w:p>
            <w:r>
              <w:t xml:space="preserve">Signed contract + exhibits</w:t>
            </w:r>
          </w:p>
        </w:tc>
      </w:tr>
      <w:tr>
        <w:tc>
          <w:p>
            <w:r>
              <w:t xml:space="preserve">Implementation + transition</w:t>
            </w:r>
          </w:p>
        </w:tc>
        <w:tc>
          <w:p>
            <w:r>
              <w:t xml:space="preserve">8-12 weeks</w:t>
            </w:r>
          </w:p>
        </w:tc>
        <w:tc>
          <w:p>
            <w:r>
              <w:t xml:space="preserve">Auxiliary services + winning bidder</w:t>
            </w:r>
          </w:p>
        </w:tc>
        <w:tc>
          <w:p>
            <w:r>
              <w:t xml:space="preserve">Equipment install + telemetry activation + go-live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Common procurement gaps</w:t>
      </w:r>
    </w:p>
    <w:p>
      <w:pPr>
        <w:spacing w:after="120"/>
      </w:pPr>
      <w:r>
        <w:rPr>
          <w:b/>
          <w:bCs/>
          <w:color w:val="111827"/>
        </w:rPr>
        <w:t xml:space="preserve">Pouring-rights misalignment: </w:t>
      </w:r>
      <w:r>
        <w:t xml:space="preserve">Most universities have a Coca-Cola or PepsiCo pouring-rights contract. RFPs that don't reference it create operator-vs-pouring-rights conflicts within 6 months. Always cross-reference.</w:t>
      </w:r>
    </w:p>
    <w:p>
      <w:pPr>
        <w:spacing w:after="120"/>
      </w:pPr>
      <w:r>
        <w:rPr>
          <w:b/>
          <w:bCs/>
          <w:color w:val="111827"/>
        </w:rPr>
        <w:t xml:space="preserve">Sustainability platitudes without metrics: </w:t>
      </w:r>
      <w:r>
        <w:t xml:space="preserve">Operators commonly write 'environmentally responsible' without per-metric commitments. Require ENERGY STAR %, refrigerant types, packaging %, fleet composition.</w:t>
      </w:r>
    </w:p>
    <w:p>
      <w:pPr>
        <w:spacing w:after="120"/>
      </w:pPr>
      <w:r>
        <w:rPr>
          <w:b/>
          <w:bCs/>
          <w:color w:val="111827"/>
        </w:rPr>
        <w:t xml:space="preserve">Campus-card integration scope gap: </w:t>
      </w:r>
      <w:r>
        <w:t xml:space="preserve">Specify whether operator manages POS integration, who owns the data, and what FERPA-compliant data flow looks like. Without specification, transition is rocky.</w:t>
      </w:r>
    </w:p>
    <w:p>
      <w:pPr>
        <w:spacing w:after="120"/>
      </w:pPr>
      <w:r>
        <w:rPr>
          <w:b/>
          <w:bCs/>
          <w:color w:val="111827"/>
        </w:rPr>
        <w:t xml:space="preserve">No board-approval contingency: </w:t>
      </w:r>
      <w:r>
        <w:t xml:space="preserve">Contracts above the procurement threshold require board approval; signed bids that bypass board approval can be void.</w:t>
      </w:r>
    </w:p>
    <w:p>
      <w:pPr>
        <w:spacing w:after="120"/>
      </w:pPr>
      <w:r>
        <w:rPr>
          <w:b/>
          <w:bCs/>
          <w:color w:val="111827"/>
        </w:rPr>
        <w:t xml:space="preserve">Sustainability office not on the evaluation committee: </w:t>
      </w:r>
      <w:r>
        <w:t xml:space="preserve">AASHE STARS reporting depends on the sustainability office. Include them on the evaluation committee, not just for compliance review.</w:t>
      </w:r>
    </w:p>
    <w:p>
      <w:pPr>
        <w:spacing w:after="120"/>
      </w:pPr>
      <w:r>
        <w:rPr>
          <w:b/>
          <w:bCs/>
          <w:color w:val="111827"/>
        </w:rPr>
        <w:t xml:space="preserve">Transition cooperation undefined: </w:t>
      </w:r>
      <w:r>
        <w:t xml:space="preserve">Outgoing operator needs to support transition for 60-90 days; specify in both the outgoing termination clause and the incoming contract.</w:t>
      </w:r>
    </w:p>
    <w:p>
      <w:pPr>
        <w:spacing w:before="400"/>
      </w:pPr>
      <w:r>
        <w:rPr>
          <w:i/>
          <w:iCs/>
          <w:color w:val="6B7280"/>
        </w:rPr>
        <w:t xml:space="preserve">This framework is a working procurement reference, not legal advice. Final RFP + contract should be reviewed by institution counsel, procurement, auxiliary services, sustainability, and the campus-card office. Pouring-rights coordination + sustainability metrics + campus-card integration are the most commonly gapped areas; address all three before issuance.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Vending Procurement Framework</dc:title>
  <dc:creator>LetUsVending</dc:creator>
  <dc:description>RFP template, evaluation rubric, and contract terms for higher-education auxiliary services</dc:description>
  <cp:lastModifiedBy>Un-named</cp:lastModifiedBy>
  <cp:revision>1</cp:revision>
  <dcterms:created xsi:type="dcterms:W3CDTF">2026-05-17T13:18:10.367Z</dcterms:created>
  <dcterms:modified xsi:type="dcterms:W3CDTF">2026-05-17T13:18:10.368Z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