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Boutique Fitness Vending Framework</w:t>
      </w:r>
    </w:p>
    <w:p>
      <w:pPr>
        <w:spacing w:after="200"/>
      </w:pPr>
      <w:r>
        <w:rPr>
          <w:i/>
          <w:iCs/>
          <w:color w:val="6B7280"/>
        </w:rPr>
        <w:t xml:space="preserve">Premium SKU template, brand-aesthetic spec, studio-app integration, monthly reporting</w:t>
      </w:r>
    </w:p>
    <w:p>
      <w:pPr>
        <w:spacing w:after="300"/>
      </w:pPr>
      <w:r>
        <w:t xml:space="preserve">Use this framework to specify a vending program inside a boutique fitness studio (cycling, barre, pilates, yoga, HIIT, recovery + cold-plunge studios). Each section is capability-framed and references NSF/ANSI 7 + 25, AHRI 1410, ENERGY STAR vending, FDA Food Code 2022, FALCPA + FASTER Act, ADA Section 308, PCI-DSS 4.0, and FTC Endorsement Guides where any wellness claim is made. Operator capabilities should be confirmed in writing before contract execution.</w:t>
      </w:r>
    </w:p>
    <w:p>
      <w:pPr>
        <w:pStyle w:val="Heading1"/>
        <w:spacing w:after="150" w:before="300"/>
      </w:pPr>
      <w:r>
        <w:t xml:space="preserve">1. Premium SKU template — 24-40 column starting frame</w:t>
      </w:r>
    </w:p>
    <w:p>
      <w:pPr>
        <w:spacing w:after="200"/>
      </w:pPr>
      <w:r>
        <w:t xml:space="preserve">Boutique fitness members expect a curated, brand-aligned SKU set, not a generic snack vendor. Pricing skews 15-40% above generic-gym retail to reflect the premium positioning.</w:t>
      </w:r>
    </w:p>
    <w:p>
      <w:pPr>
        <w:spacing w:after="120"/>
      </w:pPr>
      <w:r>
        <w:rPr>
          <w:b/>
          <w:bCs/>
          <w:color w:val="111827"/>
        </w:rPr>
        <w:t xml:space="preserve">Hydration (30% of facings): </w:t>
      </w:r>
      <w:r>
        <w:t xml:space="preserve">Premium bottled water (Mountain Valley, Voss, Liquid Death glass-or-aluminum 16 oz), sparkling (LaCroix, Bubly, Spindrift), electrolyte (LMNT, Liquid IV Energy, Nuun, Cure).</w:t>
      </w:r>
    </w:p>
    <w:p>
      <w:pPr>
        <w:spacing w:after="120"/>
      </w:pPr>
      <w:r>
        <w:rPr>
          <w:b/>
          <w:bCs/>
          <w:color w:val="111827"/>
        </w:rPr>
        <w:t xml:space="preserve">Recovery — protein + functional (25%): </w:t>
      </w:r>
      <w:r>
        <w:t xml:space="preserve">Fairlife Core Power 26g, Iconic 20g, Owyn plant 20g, Aloha plant 18g, RXBAR, KIND Protein, GoMacro, Picky Bar; collagen drinks (Vital Proteins, Ancient Nutrition).</w:t>
      </w:r>
    </w:p>
    <w:p>
      <w:pPr>
        <w:spacing w:after="120"/>
      </w:pPr>
      <w:r>
        <w:rPr>
          <w:b/>
          <w:bCs/>
          <w:color w:val="111827"/>
        </w:rPr>
        <w:t xml:space="preserve">Functional + adaptogen (15%): </w:t>
      </w:r>
      <w:r>
        <w:t xml:space="preserve">Mushroom coffee + adaptogen RTD (Four Sigmatic, MUD\WTR), Kombucha (Health-Ade, GT's), prebiotic soda (OLIPOP, Poppi, Culture Pop).</w:t>
      </w:r>
    </w:p>
    <w:p>
      <w:pPr>
        <w:spacing w:after="120"/>
      </w:pPr>
      <w:r>
        <w:rPr>
          <w:b/>
          <w:bCs/>
          <w:color w:val="111827"/>
        </w:rPr>
        <w:t xml:space="preserve">Cold brew + RTD coffee (10%): </w:t>
      </w:r>
      <w:r>
        <w:t xml:space="preserve">La Colombe, Chameleon, Stumptown, Lavva RTD, Califia Farms; oat-milk lattes.</w:t>
      </w:r>
    </w:p>
    <w:p>
      <w:pPr>
        <w:spacing w:after="120"/>
      </w:pPr>
      <w:r>
        <w:rPr>
          <w:b/>
          <w:bCs/>
          <w:color w:val="111827"/>
        </w:rPr>
        <w:t xml:space="preserve">Snack — clean-label bar + nut (10%): </w:t>
      </w:r>
      <w:r>
        <w:t xml:space="preserve">RXBAR, Larabar, Picky Bar, GoMacro, raw-nut packs, hemp-seed bites, sea-salt almonds.</w:t>
      </w:r>
    </w:p>
    <w:p>
      <w:pPr>
        <w:spacing w:after="120"/>
      </w:pPr>
      <w:r>
        <w:rPr>
          <w:b/>
          <w:bCs/>
          <w:color w:val="111827"/>
        </w:rPr>
        <w:t xml:space="preserve">Indulgent — clean treat (5%): </w:t>
      </w:r>
      <w:r>
        <w:t xml:space="preserve">Hu chocolate, Eating Evolved, single-serve almond-butter cup, dark-chocolate covered fruit.</w:t>
      </w:r>
    </w:p>
    <w:p>
      <w:pPr>
        <w:spacing w:after="120"/>
      </w:pPr>
      <w:r>
        <w:rPr>
          <w:b/>
          <w:bCs/>
          <w:color w:val="111827"/>
        </w:rPr>
        <w:t xml:space="preserve">Recovery + functional supplement (5%): </w:t>
      </w:r>
      <w:r>
        <w:t xml:space="preserve">Single-serve magnesium drink (Calm, Moon Juice), tart-cherry recovery, collagen single-serve, single-serve creatine packet.</w:t>
      </w:r>
    </w:p>
    <w:p>
      <w:pPr>
        <w:pStyle w:val="Heading1"/>
        <w:spacing w:after="150" w:before="300"/>
      </w:pPr>
      <w:r>
        <w:t xml:space="preserve">2. Brand-aesthetic specification</w:t>
      </w:r>
    </w:p>
    <w:p>
      <w:pPr>
        <w:spacing w:after="200"/>
      </w:pPr>
      <w:r>
        <w:t xml:space="preserve">Boutique fitness studio vending should look like studio merchandise, not a vending machine. Aesthetic spec below.</w:t>
      </w:r>
    </w:p>
    <w:p>
      <w:pPr>
        <w:spacing w:after="120"/>
      </w:pPr>
      <w:r>
        <w:rPr>
          <w:b/>
          <w:bCs/>
          <w:color w:val="111827"/>
        </w:rPr>
        <w:t xml:space="preserve">Cabinet finish: </w:t>
      </w:r>
      <w:r>
        <w:t xml:space="preserve">Matte black, brushed stainless, or studio-branded color wrap. Avoid high-gloss white or red plastic.</w:t>
      </w:r>
    </w:p>
    <w:p>
      <w:pPr>
        <w:spacing w:after="120"/>
      </w:pPr>
      <w:r>
        <w:rPr>
          <w:b/>
          <w:bCs/>
          <w:color w:val="111827"/>
        </w:rPr>
        <w:t xml:space="preserve">Graphics + signage: </w:t>
      </w:r>
      <w:r>
        <w:t xml:space="preserve">Studio-branded wrap (3M IJ180 or comparable, 7-year warranty); allergen + nutrition signage in studio brand typography + color palette.</w:t>
      </w:r>
    </w:p>
    <w:p>
      <w:pPr>
        <w:spacing w:after="120"/>
      </w:pPr>
      <w:r>
        <w:rPr>
          <w:b/>
          <w:bCs/>
          <w:color w:val="111827"/>
        </w:rPr>
        <w:t xml:space="preserve">Lighting: </w:t>
      </w:r>
      <w:r>
        <w:t xml:space="preserve">Soft LED 2700-3000K (warm white); dimmable; avoid 5000K+ (cool white feels clinical).</w:t>
      </w:r>
    </w:p>
    <w:p>
      <w:pPr>
        <w:spacing w:after="120"/>
      </w:pPr>
      <w:r>
        <w:rPr>
          <w:b/>
          <w:bCs/>
          <w:color w:val="111827"/>
        </w:rPr>
        <w:t xml:space="preserve">Sound + ambiance: </w:t>
      </w:r>
      <w:r>
        <w:t xml:space="preserve">Quiet condenser (≤ 50 dBA at 3 ft); place not adjacent to acoustic-sensitive studios (sound-bath, meditation, yoga).</w:t>
      </w:r>
    </w:p>
    <w:p>
      <w:pPr>
        <w:spacing w:after="120"/>
      </w:pPr>
      <w:r>
        <w:rPr>
          <w:b/>
          <w:bCs/>
          <w:color w:val="111827"/>
        </w:rPr>
        <w:t xml:space="preserve">Placement: </w:t>
      </w:r>
      <w:r>
        <w:t xml:space="preserve">Lobby + retail area integration, not back-of-house. Within sight-line of front desk + retail merchandise.</w:t>
      </w:r>
    </w:p>
    <w:p>
      <w:pPr>
        <w:spacing w:after="120"/>
      </w:pPr>
      <w:r>
        <w:rPr>
          <w:b/>
          <w:bCs/>
          <w:color w:val="111827"/>
        </w:rPr>
        <w:t xml:space="preserve">ADA compliance: </w:t>
      </w:r>
      <w:r>
        <w:t xml:space="preserve">30x48 in clear floor space, operable parts 15-48 in above finished floor, ≤ 5 lbf operating force per ADA Section 308 + 309.4.</w:t>
      </w:r>
    </w:p>
    <w:p>
      <w:pPr>
        <w:pStyle w:val="Heading1"/>
        <w:spacing w:after="150" w:before="300"/>
      </w:pPr>
      <w:r>
        <w:t xml:space="preserve">3. Studio-app integration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Studio platform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Integration approach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Mindbody</w:t>
            </w:r>
          </w:p>
        </w:tc>
        <w:tc>
          <w:p>
            <w:r>
              <w:t xml:space="preserve">API + Class Pass SSO</w:t>
            </w:r>
          </w:p>
        </w:tc>
        <w:tc>
          <w:p>
            <w:r>
              <w:t xml:space="preserve">Most common boutique platform; documented vending integrations available</w:t>
            </w:r>
          </w:p>
        </w:tc>
      </w:tr>
      <w:tr>
        <w:tc>
          <w:p>
            <w:r>
              <w:t xml:space="preserve">Mariana Tek</w:t>
            </w:r>
          </w:p>
        </w:tc>
        <w:tc>
          <w:p>
            <w:r>
              <w:t xml:space="preserve">REST API + SSO</w:t>
            </w:r>
          </w:p>
        </w:tc>
        <w:tc>
          <w:p>
            <w:r>
              <w:t xml:space="preserve">Heritage in cycling + barre studios</w:t>
            </w:r>
          </w:p>
        </w:tc>
      </w:tr>
      <w:tr>
        <w:tc>
          <w:p>
            <w:r>
              <w:t xml:space="preserve">Crunch / Equinox proprietary</w:t>
            </w:r>
          </w:p>
        </w:tc>
        <w:tc>
          <w:p>
            <w:r>
              <w:t xml:space="preserve">Custom integration via operator SDK</w:t>
            </w:r>
          </w:p>
        </w:tc>
        <w:tc>
          <w:p>
            <w:r>
              <w:t xml:space="preserve">Closed platforms; engage IT early</w:t>
            </w:r>
          </w:p>
        </w:tc>
      </w:tr>
      <w:tr>
        <w:tc>
          <w:p>
            <w:r>
              <w:t xml:space="preserve">ClassPass</w:t>
            </w:r>
          </w:p>
        </w:tc>
        <w:tc>
          <w:p>
            <w:r>
              <w:t xml:space="preserve">ClassPass member ID passthrough</w:t>
            </w:r>
          </w:p>
        </w:tc>
        <w:tc>
          <w:p>
            <w:r>
              <w:t xml:space="preserve">Studio handles loyalty; vending takes member ID for spend tracking</w:t>
            </w:r>
          </w:p>
        </w:tc>
      </w:tr>
      <w:tr>
        <w:tc>
          <w:p>
            <w:r>
              <w:t xml:space="preserve">Glofox / Wellness Living</w:t>
            </w:r>
          </w:p>
        </w:tc>
        <w:tc>
          <w:p>
            <w:r>
              <w:t xml:space="preserve">REST API</w:t>
            </w:r>
          </w:p>
        </w:tc>
        <w:tc>
          <w:p>
            <w:r>
              <w:t xml:space="preserve">Mid-size + multi-location studios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premium SKU sourcing (curated clean-label, third-party-certified options) with quarterly assortment audit and substitution log.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studio-app integration (Mindbody, Mariana Tek, Glofox, or similar) via API + SSO and member-ID passthrough for spend tracking.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+ AHRI 1410 + ENERGY STAR documentation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FDA Food Code 3-501.16 cold-chain compliance with ≤ 30-minute telemetry alert and quiet-condenser equipment selection (≤ 50 dBA at 3 ft).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FALCPA + FASTER Act allergen labeling and FTC Endorsement Guides compliance for any wellness claim made on the machine face or app.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PCI-DSS 4.0 cashless payment + Apple Pay + Google Pay + contactless EMV with AOC + SAQ-B-IP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$2M general liability, $1M umbrella, product liability ≥ $1M, additional-insured endorsement to studio + management.</w:t>
      </w:r>
    </w:p>
    <w:p>
      <w:pPr>
        <w:pStyle w:val="Heading1"/>
        <w:spacing w:after="150" w:before="300"/>
      </w:pPr>
      <w:r>
        <w:t xml:space="preserve">5. Pricing + commission model</w:t>
      </w:r>
    </w:p>
    <w:p>
      <w:pPr>
        <w:spacing w:after="200"/>
      </w:pPr>
      <w:r>
        <w:t xml:space="preserve">Boutique fitness vending pricing is premium and commission structures should reflect higher gross. Adjust to local market.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Typical retail (single)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Range vs generic gym vending</w:t>
            </w:r>
          </w:p>
        </w:tc>
      </w:tr>
      <w:tr>
        <w:tc>
          <w:p>
            <w:r>
              <w:t xml:space="preserve">Premium water (16 oz)</w:t>
            </w:r>
          </w:p>
        </w:tc>
        <w:tc>
          <w:p>
            <w:r>
              <w:t xml:space="preserve">$3.50-$5.00</w:t>
            </w:r>
          </w:p>
        </w:tc>
        <w:tc>
          <w:p>
            <w:r>
              <w:t xml:space="preserve">+50-80%</w:t>
            </w:r>
          </w:p>
        </w:tc>
      </w:tr>
      <w:tr>
        <w:tc>
          <w:p>
            <w:r>
              <w:t xml:space="preserve">RTD protein (14-16 oz)</w:t>
            </w:r>
          </w:p>
        </w:tc>
        <w:tc>
          <w:p>
            <w:r>
              <w:t xml:space="preserve">$6.00-$8.50</w:t>
            </w:r>
          </w:p>
        </w:tc>
        <w:tc>
          <w:p>
            <w:r>
              <w:t xml:space="preserve">+25-40%</w:t>
            </w:r>
          </w:p>
        </w:tc>
      </w:tr>
      <w:tr>
        <w:tc>
          <w:p>
            <w:r>
              <w:t xml:space="preserve">Premium cold brew (12 oz)</w:t>
            </w:r>
          </w:p>
        </w:tc>
        <w:tc>
          <w:p>
            <w:r>
              <w:t xml:space="preserve">$5.50-$7.00</w:t>
            </w:r>
          </w:p>
        </w:tc>
        <w:tc>
          <w:p>
            <w:r>
              <w:t xml:space="preserve">+30-50%</w:t>
            </w:r>
          </w:p>
        </w:tc>
      </w:tr>
      <w:tr>
        <w:tc>
          <w:p>
            <w:r>
              <w:t xml:space="preserve">Adaptogen / functional</w:t>
            </w:r>
          </w:p>
        </w:tc>
        <w:tc>
          <w:p>
            <w:r>
              <w:t xml:space="preserve">$4.50-$7.00</w:t>
            </w:r>
          </w:p>
        </w:tc>
        <w:tc>
          <w:p>
            <w:r>
              <w:t xml:space="preserve">+40-60%</w:t>
            </w:r>
          </w:p>
        </w:tc>
      </w:tr>
      <w:tr>
        <w:tc>
          <w:p>
            <w:r>
              <w:t xml:space="preserve">Clean-label bar</w:t>
            </w:r>
          </w:p>
        </w:tc>
        <w:tc>
          <w:p>
            <w:r>
              <w:t xml:space="preserve">$3.50-$5.00</w:t>
            </w:r>
          </w:p>
        </w:tc>
        <w:tc>
          <w:p>
            <w:r>
              <w:t xml:space="preserve">+25-40%</w:t>
            </w:r>
          </w:p>
        </w:tc>
      </w:tr>
      <w:tr>
        <w:tc>
          <w:p>
            <w:r>
              <w:t xml:space="preserve">Kombucha (16 oz)</w:t>
            </w:r>
          </w:p>
        </w:tc>
        <w:tc>
          <w:p>
            <w:r>
              <w:t xml:space="preserve">$5.00-$6.50</w:t>
            </w:r>
          </w:p>
        </w:tc>
        <w:tc>
          <w:p>
            <w:r>
              <w:t xml:space="preserve">+15-25%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Commission model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Monthly gross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Commission tier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$0 - $1,500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Entry tier; premium pricing supports higher %</w:t>
            </w:r>
          </w:p>
        </w:tc>
      </w:tr>
      <w:tr>
        <w:tc>
          <w:p>
            <w:r>
              <w:t xml:space="preserve">$1,500 - $3,500</w:t>
            </w:r>
          </w:p>
        </w:tc>
        <w:tc>
          <w:p>
            <w:r>
              <w:t xml:space="preserve">12%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$3,500 - $7,000</w:t>
            </w:r>
          </w:p>
        </w:tc>
        <w:tc>
          <w:p>
            <w:r>
              <w:t xml:space="preserve">16%</w:t>
            </w:r>
          </w:p>
        </w:tc>
        <w:tc>
          <w:p>
            <w:r>
              <w:t xml:space="preserve">High-traffic + multi-class studios</w:t>
            </w:r>
          </w:p>
        </w:tc>
      </w:tr>
      <w:tr>
        <w:tc>
          <w:p>
            <w:r>
              <w:t xml:space="preserve">$7,000 - $15,000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Multi-studio chains; flagship locations</w:t>
            </w:r>
          </w:p>
        </w:tc>
      </w:tr>
      <w:tr>
        <w:tc>
          <w:p>
            <w:r>
              <w:t xml:space="preserve">$15,000+</w:t>
            </w:r>
          </w:p>
        </w:tc>
        <w:tc>
          <w:p>
            <w:r>
              <w:t xml:space="preserve">22-25%</w:t>
            </w:r>
          </w:p>
        </w:tc>
        <w:tc>
          <w:p>
            <w:r>
              <w:t xml:space="preserve">Anchor studio in large chain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Monthly reporting cadence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Uptime per machine (target ≥ 99% — boutique tolerance is lower than office).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Transactions per day; revenue + basket; basket size benchmark vs comparable studios in operator portfolio.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 incidents + resolution time (target zero stockout &gt; 24 hours).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 (top-10 + bottom-10); planogram refresh proposal.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volume + reason codes (target &lt; 1.5% of transactions for premium positioning).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Member-feedback summary (in-app rating, on-machine QR survey, front-desk notes).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Temperature excursion log; quiet-condenser noise check.</w:t>
      </w:r>
    </w:p>
    <w:p>
      <w:pPr>
        <w:pStyle w:val="Heading1"/>
        <w:spacing w:after="150" w:before="300"/>
      </w:pPr>
      <w:r>
        <w:t xml:space="preserve">8. Quarterly review + planogram refresh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planogram refresh based on velocity + member survey; drop bottom-5 SKUs, introduce 3-5 new SKUs aligned with studio brand + member preferences.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brand-aesthetic audit (graphic-wrap condition, signage, lighting, ambiance check).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NPS review + tasting event planning for new-SKU launches.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contract review: commission tier, SLA performance, NPS, RFP renewal vs renew.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recertification: NSF + AHRI + PCI + insurance + food safety attestations on file.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legal, nutrition, or medical advice. Confirm operator capabilities in writing through reference checks and attestations. Any wellness, recovery, or functional-product claim must comply with FTC Endorsement Guides and applicable FDA labeling rules (DSHEA for supplements; standard food labeling for conventional foods).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Boutique Fitness Vending Framework</dc:title>
  <dc:creator>LetUsVending</dc:creator>
  <dc:description>Premium SKU template, brand-aesthetic spec, studio-app integration, monthly reporting</dc:description>
  <cp:lastModifiedBy>Un-named</cp:lastModifiedBy>
  <cp:revision>1</cp:revision>
  <dcterms:created xsi:type="dcterms:W3CDTF">2026-05-17T13:18:10.567Z</dcterms:created>
  <dcterms:modified xsi:type="dcterms:W3CDTF">2026-05-17T13:18:10.568Z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