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Vending Business Pre-Launch Checklist</w:t>
      </w:r>
    </w:p>
    <w:p>
      <w:pPr>
        <w:spacing w:after="200"/>
      </w:pPr>
      <w:r>
        <w:rPr>
          <w:i/>
          <w:iCs/>
          <w:color w:val="6B7280"/>
        </w:rPr>
        <w:t xml:space="preserve">State-by-state filings, equipment readiness, account-acquisition prep, and operating templates</w:t>
      </w:r>
    </w:p>
    <w:p>
      <w:pPr>
        <w:spacing w:after="300"/>
      </w:pPr>
      <w:r>
        <w:t xml:space="preserve">Use this checklist to launch a vending operation that meets federal, state, and local compliance from day 1. Each section maps to a real filing, contract, or operational deliverable. Standards cited reference IRS, FDA Food Code 2022, PCI-DSS v4.0, ADA 2010 Standards, FTC 16 CFR Part 437, and state-specific examples.</w:t>
      </w:r>
    </w:p>
    <w:p>
      <w:pPr>
        <w:pStyle w:val="Heading1"/>
        <w:spacing w:after="150" w:before="300"/>
      </w:pPr>
      <w:r>
        <w:t xml:space="preserve">Section 1 — Business formation + federal filings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Business entity formed (LLC, S-corp, sole prop); operating agreement / bylaws executed.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EIN obtained from IRS (free, online).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Federal tax election filed if applicable (Form 8832 / Form 2553 for S-corp election).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USDOT number obtained if operating commercial vehicles ≥ 10,001 lbs GVWR.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FTC Business Opportunity Rule reviewed (16 CFR Part 437) — relevant if buying from a biz-op seller.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FDA registration if commissary-prepping TCS food (21 CFR Part 1.225).</w:t>
      </w:r>
    </w:p>
    <w:p>
      <w:pPr>
        <w:pStyle w:val="Heading1"/>
        <w:spacing w:after="150" w:before="300"/>
      </w:pPr>
      <w:r>
        <w:t xml:space="preserve">Section 2 — State filings (varies by state)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Sales-tax permit obtained from state department of revenue.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State vending or merchant license where required (CA, FL, NY, PA, OH, NC, MI, others — verify with your state DOR).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State food-service license if vending TCS food (PA PDA, NC NCDA, MI LARA, etc.).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Workers compensation registration per state statute (if hiring employees).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Unemployment insurance registration per state statute (if hiring employees).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E-Verify enrollment if your state requires (AZ, AL, GA, MS, NC, SC, TN, UT, others).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State annual report scheduled (most states require annual or biennial).</w:t>
      </w:r>
    </w:p>
    <w:p>
      <w:pPr>
        <w:pStyle w:val="Heading1"/>
        <w:spacing w:after="150" w:before="300"/>
      </w:pPr>
      <w:r>
        <w:t xml:space="preserve">Section 3 — Local (city / county) filings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City business / operating license obtained.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County health-department permit if vending TCS food.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Local zoning verification — placements typically commercial-by-right.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Fire-marshal sign-off for micro-market footprints &gt; 1,000 sq ft.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Local sales-tax add-on registration (TX, IL, MO, AZ, AL, others with city / county add-on).</w:t>
      </w:r>
    </w:p>
    <w:p>
      <w:pPr>
        <w:pStyle w:val="Heading1"/>
        <w:spacing w:after="150" w:before="300"/>
      </w:pPr>
      <w:r>
        <w:t xml:space="preserve">Section 4 — Insurance + bonding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General liability ≥ $1M per occurrence / $2M aggregate.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Product liability ≥ $2M with foodborne-illness coverage explicit.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Commercial auto ≥ $1M combined single limit.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Workers comp per state statute.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Cyber liability ≥ $1M (PCI-DSS breach response).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Surety bond if state requires (some food + OH vendor's bond).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COI template ready with host-as-additional-insured + 30-day cancellation notice.</w:t>
      </w:r>
    </w:p>
    <w:p>
      <w:pPr>
        <w:pStyle w:val="Heading1"/>
        <w:spacing w:after="150" w:before="300"/>
      </w:pPr>
      <w:r>
        <w:t xml:space="preserve">Section 5 — Equipment readiness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Each machine has current-generation MDB controller (Crane / AMS / Royal / Seaga / USI/Wittern / Federal current models).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PCI-DSS v4.0 compliant card reader on every machine (Nayax / Cantaloupe / 365 Retail Markets / USA Technologies).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Telemetry on every machine — sub-15-minute heartbeat.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UL 541 (refrigerated) or UL 751 (non-refrigerated) labels intact.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Cabinet ADA conformance — Section 308 reach range; Section 305 clear floor space.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Refrigerated units holding ≤ 38°F per FDA Food Code 2022 §3-501.16.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Pre-purchase inspection (28-point) completed and scored on every used machine.</w:t>
      </w:r>
    </w:p>
    <w:p>
      <w:pPr>
        <w:pStyle w:val="Heading1"/>
        <w:spacing w:after="150" w:before="300"/>
      </w:pPr>
      <w:r>
        <w:t xml:space="preserve">Section 6 — Compliance attestations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PCI-DSS v4.0 SAQ-C-VT or ROC completed; attestation date documented.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ADA Section 308 baseline measurements documented per machine.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FDA Food Code 2022 cold-chain attestation per refrigerated unit.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FALCPA allergen labeling on every TCS / packaged SKU.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Smart Snacks compliance log for any K-12 placements (USDA 7 CFR 210.11).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Privacy notice + opt-out flow if using a loyalty app (CCPA / CPRA / VCDPA / CPA / CTDPA).</w:t>
      </w:r>
    </w:p>
    <w:p>
      <w:pPr>
        <w:pStyle w:val="Heading1"/>
        <w:spacing w:after="150" w:before="300"/>
      </w:pPr>
      <w:r>
        <w:t xml:space="preserve">Section 7 — Account acquisition prep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Capability one-pager ready (telemetry, SLA tiers, refund flow, planogram cadence, compliance attestations).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MSA template reviewed by counsel licensed in your state.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Proposal template with commission structure, SLA tiers, sample QBR.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Three reference accounts ready to share contact info with prospects.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Location criteria scorecard adopted (audience, infrastructure, drive-time, demographics).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Locator-scam awareness brief reviewed (16 CFR Part 437 red flags).</w:t>
      </w:r>
    </w:p>
    <w:p>
      <w:pPr>
        <w:pStyle w:val="Heading1"/>
        <w:spacing w:after="150" w:before="300"/>
      </w:pPr>
      <w:r>
        <w:t xml:space="preserve">Section 8 — Operating templates ready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Master Service Agreement (MSA) template — term, termination, SLA, refund, commission, indemnification.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Pilot agreement template — 60-90 day terms before MSA commitment.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Site survey form — measurements, photos, electrical, signal strength, ADA baseline.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Restock SOP — telemetry-driven cadence, per-SKU pull list, refund-process step.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Service-ticket SOP — Tier 1/2/3 routing + parts inventory + SLA clock.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Cold-chain log template — per-unit, per-restock temperature + sign-off.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Refund-procedure template — app + on-machine touchpad + SMS + audit cadence.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QBR template — uptime, stockouts, refunds, SLA adherence, action items.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Sales-tax remittance schedule by state + city / county.</w:t>
      </w:r>
    </w:p>
    <w:p>
      <w:pPr>
        <w:spacing w:before="400"/>
      </w:pPr>
      <w:r>
        <w:rPr>
          <w:i/>
          <w:iCs/>
          <w:color w:val="6B7280"/>
        </w:rPr>
        <w:t xml:space="preserve">This checklist is informational and not legal or tax advice. State + local licensing is highly variable; consult counsel + CPA licensed in your jurisdiction before launch.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Vending Business Pre-Launch Checklist</dc:title>
  <dc:creator>LetUsVending</dc:creator>
  <dc:description>State-by-state filings, equipment readiness, account-acquisition prep, and operating templates</dc:description>
  <cp:lastModifiedBy>Un-named</cp:lastModifiedBy>
  <cp:revision>1</cp:revision>
  <dcterms:created xsi:type="dcterms:W3CDTF">2026-05-17T13:18:10.642Z</dcterms:created>
  <dcterms:modified xsi:type="dcterms:W3CDTF">2026-05-17T13:18:10.644Z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