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Apartment Vending Community Engagement Framework</w:t>
      </w:r>
    </w:p>
    <w:p>
      <w:pPr>
        <w:spacing w:after="200"/>
      </w:pPr>
      <w:r>
        <w:rPr>
          <w:i/>
          <w:iCs/>
          <w:color w:val="6B7280"/>
        </w:rPr>
        <w:t xml:space="preserve">Seven engagement patterns, quarterly workflow, and reporting templates</w:t>
      </w:r>
    </w:p>
    <w:p>
      <w:pPr>
        <w:spacing w:after="300"/>
      </w:pPr>
      <w:r>
        <w:t xml:space="preserve">Use this framework to operate a multifamily vending program that residents actually use, not just walk past. Each section is capability-framed and references CCPA / state privacy regimes for any resident data, ADA Title III / Section 308 for placement, and FALCPA for any food product offered. Confirm operator capabilities in writing before contract execution.</w:t>
      </w:r>
    </w:p>
    <w:p>
      <w:pPr>
        <w:pStyle w:val="Heading1"/>
        <w:spacing w:after="150" w:before="300"/>
      </w:pPr>
      <w:r>
        <w:t xml:space="preserve">1. Seven engagement patterns</w:t>
      </w:r>
    </w:p>
    <w:p>
      <w:pPr>
        <w:spacing w:after="200"/>
      </w:pPr>
      <w:r>
        <w:t xml:space="preserve">Multifamily vending succeeds when it shows up in resident touchpoints, not just at the machine. Below are the seven patterns that drive sustained utilization. Pick 3-5 to operationalize at any property.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Why it works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Move-in welcome kit + free-first credit</w:t>
            </w:r>
          </w:p>
        </w:tc>
        <w:tc>
          <w:p>
            <w:r>
              <w:t xml:space="preserve">Anchors awareness in week-1 when residents form daily habits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Quarterly resident survey + planogram update</w:t>
            </w:r>
          </w:p>
        </w:tc>
        <w:tc>
          <w:p>
            <w:r>
              <w:t xml:space="preserve">Closes the feedback loop; residents see their input drive the assortment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Tasting events + new-SKU drops</w:t>
            </w:r>
          </w:p>
        </w:tc>
        <w:tc>
          <w:p>
            <w:r>
              <w:t xml:space="preserve">Trial barriers fall when residents sample before purchasing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Resident app / portal integration</w:t>
            </w:r>
          </w:p>
        </w:tc>
        <w:tc>
          <w:p>
            <w:r>
              <w:t xml:space="preserve">Single login covers vending + amenity bookings + service requests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Loyalty + birthday rewards</w:t>
            </w:r>
          </w:p>
        </w:tc>
        <w:tc>
          <w:p>
            <w:r>
              <w:t xml:space="preserve">Repeat purchase + birthday-month free credit drive emotional engagement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Local roaster / maker rotation</w:t>
            </w:r>
          </w:p>
        </w:tc>
        <w:tc>
          <w:p>
            <w:r>
              <w:t xml:space="preserve">Community-relevance lift over national-brand-only assortment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Lobby + elevator + door-hanger comms</w:t>
            </w:r>
          </w:p>
        </w:tc>
        <w:tc>
          <w:p>
            <w:r>
              <w:t xml:space="preserve">Distributes awareness across resident routine touchpoints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Move-in welcome kit</w:t>
      </w:r>
    </w:p>
    <w:p>
      <w:pPr>
        <w:spacing w:after="120"/>
      </w:pPr>
      <w:r>
        <w:rPr>
          <w:b/>
          <w:bCs/>
          <w:color w:val="111827"/>
        </w:rPr>
        <w:t xml:space="preserve">Welcome card: </w:t>
      </w:r>
      <w:r>
        <w:t xml:space="preserve">4x6 in card delivered with move-in packet. Includes QR for free-first-purchase code, support number, allergen + nutrition note, ADA accessibility note.</w:t>
      </w:r>
    </w:p>
    <w:p>
      <w:pPr>
        <w:spacing w:after="120"/>
      </w:pPr>
      <w:r>
        <w:rPr>
          <w:b/>
          <w:bCs/>
          <w:color w:val="111827"/>
        </w:rPr>
        <w:t xml:space="preserve">First-purchase credit value: </w:t>
      </w:r>
      <w:r>
        <w:t xml:space="preserve">$5-$10 (operator-funded as part of contract); reload code expires 30 days from move-in.</w:t>
      </w:r>
    </w:p>
    <w:p>
      <w:pPr>
        <w:spacing w:after="120"/>
      </w:pPr>
      <w:r>
        <w:rPr>
          <w:b/>
          <w:bCs/>
          <w:color w:val="111827"/>
        </w:rPr>
        <w:t xml:space="preserve">Resident app onboarding: </w:t>
      </w:r>
      <w:r>
        <w:t xml:space="preserve">Steps to install resident app, link credit code, set dietary tags (vegetarian, gluten-free, dairy-free) for personalization.</w:t>
      </w:r>
    </w:p>
    <w:p>
      <w:pPr>
        <w:spacing w:after="120"/>
      </w:pPr>
      <w:r>
        <w:rPr>
          <w:b/>
          <w:bCs/>
          <w:color w:val="111827"/>
        </w:rPr>
        <w:t xml:space="preserve">First-purchase tracking: </w:t>
      </w:r>
      <w:r>
        <w:t xml:space="preserve">Operator tracks redemption + first 30-day basket count; reports back at quarterly review.</w:t>
      </w:r>
    </w:p>
    <w:p>
      <w:pPr>
        <w:pStyle w:val="Heading1"/>
        <w:spacing w:after="150" w:before="300"/>
      </w:pPr>
      <w:r>
        <w:t xml:space="preserve">3. Quarterly survey + planogram update</w:t>
      </w:r>
    </w:p>
    <w:p>
      <w:pPr>
        <w:spacing w:after="200"/>
      </w:pPr>
      <w:r>
        <w:t xml:space="preserve">Three-question survey delivered via app + email + on-machine QR. Closes the loop with planogram action at quarter-end. Reference Census Bureau survey design fundamentals.</w:t>
      </w:r>
    </w:p>
    <w:p>
      <w:pPr>
        <w:spacing w:after="60" w:before="120"/>
      </w:pPr>
      <w:r>
        <w:rPr>
          <w:b/>
          <w:bCs/>
        </w:rPr>
        <w:t xml:space="preserve">1. Question 1 — satisfaction</w:t>
      </w:r>
    </w:p>
    <w:p>
      <w:pPr>
        <w:spacing w:after="120"/>
      </w:pPr>
      <w:r>
        <w:t xml:space="preserve">How satisfied are you with the vending selection at [property name]? (1-5 scale)</w:t>
      </w:r>
    </w:p>
    <w:p>
      <w:pPr>
        <w:spacing w:after="60" w:before="120"/>
      </w:pPr>
      <w:r>
        <w:rPr>
          <w:b/>
          <w:bCs/>
        </w:rPr>
        <w:t xml:space="preserve">2. Question 2 — open feedback</w:t>
      </w:r>
    </w:p>
    <w:p>
      <w:pPr>
        <w:spacing w:after="120"/>
      </w:pPr>
      <w:r>
        <w:t xml:space="preserve">What product would you like to see added, removed, or swapped? (open-end, 250 char max)</w:t>
      </w:r>
    </w:p>
    <w:p>
      <w:pPr>
        <w:spacing w:after="60" w:before="120"/>
      </w:pPr>
      <w:r>
        <w:rPr>
          <w:b/>
          <w:bCs/>
        </w:rPr>
        <w:t xml:space="preserve">3. Question 3 — usage frequency</w:t>
      </w:r>
    </w:p>
    <w:p>
      <w:pPr>
        <w:spacing w:after="120"/>
      </w:pPr>
      <w:r>
        <w:t xml:space="preserve">How often do you purchase from the vending? (Daily / weekly / monthly / rarely / never)</w:t>
      </w:r>
    </w:p>
    <w:p>
      <w:pPr>
        <w:spacing w:after="60" w:before="120"/>
      </w:pPr>
      <w:r>
        <w:rPr>
          <w:b/>
          <w:bCs/>
        </w:rPr>
        <w:t xml:space="preserve">4. Planogram action</w:t>
      </w:r>
    </w:p>
    <w:p>
      <w:pPr>
        <w:spacing w:after="120"/>
      </w:pPr>
      <w:r>
        <w:t xml:space="preserve">Add top-2 requested SKUs, drop bottom-2 by velocity, communicate changes via app + lobby signage within 14 days.</w:t>
      </w:r>
    </w:p>
    <w:p>
      <w:pPr>
        <w:pStyle w:val="Heading1"/>
        <w:spacing w:after="150" w:before="300"/>
      </w:pPr>
      <w:r>
        <w:t xml:space="preserve">4. Tasting events + new-SKU drops</w:t>
      </w:r>
    </w:p>
    <w:p>
      <w:pPr>
        <w:spacing w:after="120"/>
      </w:pPr>
      <w:r>
        <w:rPr>
          <w:b/>
          <w:bCs/>
          <w:color w:val="111827"/>
        </w:rPr>
        <w:t xml:space="preserve">Cadence: </w:t>
      </w:r>
      <w:r>
        <w:t xml:space="preserve">Quarterly tasting event 30-60 minutes in lobby or amenity area; aligned with rotation launch.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Free samples of 4-6 new SKUs; resident-app punch card for trial; QR survey at exit.</w:t>
      </w:r>
    </w:p>
    <w:p>
      <w:pPr>
        <w:spacing w:after="120"/>
      </w:pPr>
      <w:r>
        <w:rPr>
          <w:b/>
          <w:bCs/>
          <w:color w:val="111827"/>
        </w:rPr>
        <w:t xml:space="preserve">Operator deliverables: </w:t>
      </w:r>
      <w:r>
        <w:t xml:space="preserve">Tasting supplies, samples, branded signage, on-site host. Local roaster or maker present where featured.</w:t>
      </w:r>
    </w:p>
    <w:p>
      <w:pPr>
        <w:spacing w:after="120"/>
      </w:pPr>
      <w:r>
        <w:rPr>
          <w:b/>
          <w:bCs/>
          <w:color w:val="111827"/>
        </w:rPr>
        <w:t xml:space="preserve">Capacity planning: </w:t>
      </w:r>
      <w:r>
        <w:t xml:space="preserve">Expect 15-25% of in-residence population to attend over the event window; size samples accordingly.</w:t>
      </w:r>
    </w:p>
    <w:p>
      <w:pPr>
        <w:spacing w:after="120"/>
      </w:pPr>
      <w:r>
        <w:rPr>
          <w:b/>
          <w:bCs/>
          <w:color w:val="111827"/>
        </w:rPr>
        <w:t xml:space="preserve">Follow-up: </w:t>
      </w:r>
      <w:r>
        <w:t xml:space="preserve">New SKU drop announcement 7 days post-event; first 50 purchasers receive a $1 credit.</w:t>
      </w:r>
    </w:p>
    <w:p>
      <w:pPr>
        <w:pStyle w:val="Heading1"/>
        <w:spacing w:after="150" w:before="300"/>
      </w:pPr>
      <w:r>
        <w:t xml:space="preserve">5. Resident app + portal integration</w:t>
      </w:r>
    </w:p>
    <w:p>
      <w:pPr>
        <w:spacing w:after="200"/>
      </w:pPr>
      <w:r>
        <w:t xml:space="preserve">Reduce friction by piggybacking on the existing resident portal (Yardi RentCafe, AppFolio Portal, Realm, Buildium, etc.) where feasible.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SSO between operator app and resident portal (SAML 2.0 or OIDC).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Single resident profile with dietary tags, payment method on file, loyalty balance, refund history.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In-app announcements for new SKUs, tasting events, planogram updates, service incidents.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/ support flow accessible in-app (target &lt; 24 hour resolution).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Resident data handled per CCPA + state privacy regimes; data residency option for EU residents; operator SOC 2 Type II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app PCI-DSS 4.0 attested; no PAN storage at the cooler or in resident-app cache.</w:t>
      </w:r>
    </w:p>
    <w:p>
      <w:pPr>
        <w:pStyle w:val="Heading1"/>
        <w:spacing w:after="150" w:before="300"/>
      </w:pPr>
      <w:r>
        <w:t xml:space="preserve">6. Loyalty + birthday rewards</w:t>
      </w:r>
    </w:p>
    <w:p>
      <w:pPr>
        <w:spacing w:after="120"/>
      </w:pPr>
      <w:r>
        <w:rPr>
          <w:b/>
          <w:bCs/>
          <w:color w:val="111827"/>
        </w:rPr>
        <w:t xml:space="preserve">Loyalty program: </w:t>
      </w:r>
      <w:r>
        <w:t xml:space="preserve">Points-per-dollar (e.g., 1 point per $1 spent); redeem at 100-500 point thresholds for free SKU or credit.</w:t>
      </w:r>
    </w:p>
    <w:p>
      <w:pPr>
        <w:spacing w:after="120"/>
      </w:pPr>
      <w:r>
        <w:rPr>
          <w:b/>
          <w:bCs/>
          <w:color w:val="111827"/>
        </w:rPr>
        <w:t xml:space="preserve">Birthday reward: </w:t>
      </w:r>
      <w:r>
        <w:t xml:space="preserve">$5-$10 credit auto-issued in birthday-month via app push + email.</w:t>
      </w:r>
    </w:p>
    <w:p>
      <w:pPr>
        <w:spacing w:after="120"/>
      </w:pPr>
      <w:r>
        <w:rPr>
          <w:b/>
          <w:bCs/>
          <w:color w:val="111827"/>
        </w:rPr>
        <w:t xml:space="preserve">Resident-of-the-month feature: </w:t>
      </w:r>
      <w:r>
        <w:t xml:space="preserve">Highlight top-purchaser of the month with a $10 credit + lobby shout-out (opt-in; per CCPA + property privacy policy).</w:t>
      </w:r>
    </w:p>
    <w:p>
      <w:pPr>
        <w:spacing w:after="120"/>
      </w:pPr>
      <w:r>
        <w:rPr>
          <w:b/>
          <w:bCs/>
          <w:color w:val="111827"/>
        </w:rPr>
        <w:t xml:space="preserve">Refer-a-resident: </w:t>
      </w:r>
      <w:r>
        <w:t xml:space="preserve">Where the property's lease + privacy policy allow: $5 credit to existing resident + $5 first-purchase credit to new resident on lease signing.</w:t>
      </w:r>
    </w:p>
    <w:p>
      <w:pPr>
        <w:spacing w:after="120"/>
      </w:pPr>
      <w:r>
        <w:rPr>
          <w:b/>
          <w:bCs/>
          <w:color w:val="111827"/>
        </w:rPr>
        <w:t xml:space="preserve">Lease-renewal credit: </w:t>
      </w:r>
      <w:r>
        <w:t xml:space="preserve">Property-funded $25-$50 credit at lease renewal as a stickiness lever; coordinate with leasing team.</w:t>
      </w:r>
    </w:p>
    <w:p>
      <w:pPr>
        <w:pStyle w:val="Heading1"/>
        <w:spacing w:after="150" w:before="300"/>
      </w:pPr>
      <w:r>
        <w:t xml:space="preserve">7. Local roaster / maker rotation</w:t>
      </w:r>
    </w:p>
    <w:p>
      <w:pPr>
        <w:spacing w:after="200"/>
      </w:pPr>
      <w:r>
        <w:t xml:space="preserve">Quarterly feature of a local roaster, baker, snack maker, or beverage producer. Drives community relevance and supports the property's neighborhood-positioning story.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Source 3-4 local makers per market for rotation; operator vets food-safety credentials (FDA + state food-manufacturer license + product liability).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product liability insurance follow-on for any local-maker product carried.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feature launch combined with tasting event + app announcement + lobby signage.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+ property co-fund any local-maker partnership marketing (e.g., maker-bio card placed at the machine).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Local-maker SKU rotation reported to property at quarterly review with velocity + margin.</w:t>
      </w:r>
    </w:p>
    <w:p>
      <w:pPr>
        <w:pStyle w:val="Heading1"/>
        <w:spacing w:after="150" w:before="300"/>
      </w:pPr>
      <w:r>
        <w:t xml:space="preserve">8. Quarterly workflow</w:t>
      </w:r>
    </w:p>
    <w:p>
      <w:pPr>
        <w:spacing w:after="60" w:before="120"/>
      </w:pPr>
      <w:r>
        <w:rPr>
          <w:b/>
          <w:bCs/>
        </w:rPr>
        <w:t xml:space="preserve">1. Week 1 — survey + data pull</w:t>
      </w:r>
    </w:p>
    <w:p>
      <w:pPr>
        <w:spacing w:after="120"/>
      </w:pPr>
      <w:r>
        <w:t xml:space="preserve">Operator pushes quarterly survey to residents via app + email; pulls prior-quarter velocity + refund + uptime data.</w:t>
      </w:r>
    </w:p>
    <w:p>
      <w:pPr>
        <w:spacing w:after="60" w:before="120"/>
      </w:pPr>
      <w:r>
        <w:rPr>
          <w:b/>
          <w:bCs/>
        </w:rPr>
        <w:t xml:space="preserve">2. Week 2 — analysis + planogram proposal</w:t>
      </w:r>
    </w:p>
    <w:p>
      <w:pPr>
        <w:spacing w:after="120"/>
      </w:pPr>
      <w:r>
        <w:t xml:space="preserve">Operator drafts planogram refresh + local-maker rotation + tasting event date.</w:t>
      </w:r>
    </w:p>
    <w:p>
      <w:pPr>
        <w:spacing w:after="60" w:before="120"/>
      </w:pPr>
      <w:r>
        <w:rPr>
          <w:b/>
          <w:bCs/>
        </w:rPr>
        <w:t xml:space="preserve">3. Week 3 — quarterly business review (QBR)</w:t>
      </w:r>
    </w:p>
    <w:p>
      <w:pPr>
        <w:spacing w:after="120"/>
      </w:pPr>
      <w:r>
        <w:t xml:space="preserve">On-site or video review with property manager + leasing team. Approve planogram + tasting event + comms plan.</w:t>
      </w:r>
    </w:p>
    <w:p>
      <w:pPr>
        <w:spacing w:after="60" w:before="120"/>
      </w:pPr>
      <w:r>
        <w:rPr>
          <w:b/>
          <w:bCs/>
        </w:rPr>
        <w:t xml:space="preserve">4. Week 4 — execute</w:t>
      </w:r>
    </w:p>
    <w:p>
      <w:pPr>
        <w:spacing w:after="120"/>
      </w:pPr>
      <w:r>
        <w:t xml:space="preserve">Planogram update, tasting event, app announcement, lobby signage, door-hanger drops where applicable.</w:t>
      </w:r>
    </w:p>
    <w:p>
      <w:pPr>
        <w:spacing w:after="60" w:before="120"/>
      </w:pPr>
      <w:r>
        <w:rPr>
          <w:b/>
          <w:bCs/>
        </w:rPr>
        <w:t xml:space="preserve">5. Mid-quarter — pulse check</w:t>
      </w:r>
    </w:p>
    <w:p>
      <w:pPr>
        <w:spacing w:after="120"/>
      </w:pPr>
      <w:r>
        <w:t xml:space="preserve">Operator pulls mid-quarter telemetry; flags any stockout or velocity miss; one-touch planogram swap if needed.</w:t>
      </w:r>
    </w:p>
    <w:p>
      <w:pPr>
        <w:pStyle w:val="Heading1"/>
        <w:spacing w:after="150" w:before="300"/>
      </w:pPr>
      <w:r>
        <w:t xml:space="preserve">9. Reporting templates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Monthly: uptime, transactions, revenue, basket, refund volume, stockout incidents.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Monthly: app + survey engagement (DAU, MAU, survey response rate, NPS).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planogram refresh report (added, dropped, substituted SKUs + velocity rationale).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tasting event + local-maker feature outcomes (attendees, samples consumed, new-SKU velocity post-event).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loyalty + birthday redemption rates; refer-a-resident counts.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Annually: program ROI summary; lease-renewal credit redemption rate + correlation with retention.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advice. Resident-data handling must comply with CCPA, state privacy regimes, and the property's privacy policy. Any property-funded credits or rewards should be coordinated with the property's accounting + leasing teams to avoid lease-amendment or rent-credit complications.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Apartment Vending Community Engagement Framework</dc:title>
  <dc:creator>LetUsVending</dc:creator>
  <dc:description>Seven engagement patterns, quarterly workflow, and reporting templates</dc:description>
  <cp:lastModifiedBy>Un-named</cp:lastModifiedBy>
  <cp:revision>1</cp:revision>
  <dcterms:created xsi:type="dcterms:W3CDTF">2026-05-17T13:18:10.836Z</dcterms:created>
  <dcterms:modified xsi:type="dcterms:W3CDTF">2026-05-17T13:18:10.837Z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