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Apartment Vending Contract Framework</w:t>
      </w:r>
    </w:p>
    <w:p>
      <w:pPr>
        <w:spacing w:after="200"/>
      </w:pPr>
      <w:r>
        <w:rPr>
          <w:i/>
          <w:iCs/>
          <w:color w:val="6B7280"/>
        </w:rPr>
        <w:t xml:space="preserve">Eight contract sections, negotiation workflow, RFP template, and legal review checklist for multifamily property managers</w:t>
      </w:r>
    </w:p>
    <w:p>
      <w:pPr>
        <w:spacing w:after="300"/>
      </w:pPr>
      <w:r>
        <w:t xml:space="preserve">Multifamily property managers (NMHC top 50 operators, regional property management firms, owner-operator portfolios) face a different vending contract posture than commercial properties: shorter resident tenancy (12-24 months typical), 24/7 access expectations, package + amenity-room placement, ADA + Fair Housing Act overlay, and pet-friendly + family-friendly planogram considerations. This framework gives the regional property manager + asset manager an eight-section contract framework, a negotiation workflow, a complete RFP template, and a legal review checklist for council adoption.</w:t>
      </w:r>
    </w:p>
    <w:p>
      <w:pPr>
        <w:pStyle w:val="Heading1"/>
        <w:spacing w:after="150" w:before="300"/>
      </w:pPr>
      <w:r>
        <w:t xml:space="preserve">1. Eight contract sections — required</w:t>
      </w:r>
    </w:p>
    <w:p>
      <w:pPr>
        <w:spacing w:after="60" w:before="120"/>
      </w:pPr>
      <w:r>
        <w:rPr>
          <w:b/>
          <w:bCs/>
        </w:rPr>
        <w:t xml:space="preserve">1. Section A — Parties + properties</w:t>
      </w:r>
    </w:p>
    <w:p>
      <w:pPr>
        <w:spacing w:after="120"/>
      </w:pPr>
      <w:r>
        <w:t xml:space="preserve">Legal owner + management company + tax IDs; properties in scope (each address listed with floor plan attached); amenity rooms in scope (mailroom, package room, fitness, pool, business center).</w:t>
      </w:r>
    </w:p>
    <w:p>
      <w:pPr>
        <w:spacing w:after="60" w:before="120"/>
      </w:pPr>
      <w:r>
        <w:rPr>
          <w:b/>
          <w:bCs/>
        </w:rPr>
        <w:t xml:space="preserve">2. Section B — Equipment + service scope</w:t>
      </w:r>
    </w:p>
    <w:p>
      <w:pPr>
        <w:spacing w:after="120"/>
      </w:pPr>
      <w:r>
        <w:t xml:space="preserve">Per-amenity-room equipment list (combo, snack, beverage, AI cooler), telemetry vendor + heartbeat, payment ecosystem (EMV + NFC + mobile wallet), restock cadence.</w:t>
      </w:r>
    </w:p>
    <w:p>
      <w:pPr>
        <w:spacing w:after="60" w:before="120"/>
      </w:pPr>
      <w:r>
        <w:rPr>
          <w:b/>
          <w:bCs/>
        </w:rPr>
        <w:t xml:space="preserve">3. Section C — Commission + financial terms</w:t>
      </w:r>
    </w:p>
    <w:p>
      <w:pPr>
        <w:spacing w:after="120"/>
      </w:pPr>
      <w:r>
        <w:t xml:space="preserve">Commission rate, calculation method, payment cadence (monthly), settlement date, audit right, equipment investment.</w:t>
      </w:r>
    </w:p>
    <w:p>
      <w:pPr>
        <w:spacing w:after="60" w:before="120"/>
      </w:pPr>
      <w:r>
        <w:rPr>
          <w:b/>
          <w:bCs/>
        </w:rPr>
        <w:t xml:space="preserve">4. Section D — SLA + telemetry</w:t>
      </w:r>
    </w:p>
    <w:p>
      <w:pPr>
        <w:spacing w:after="120"/>
      </w:pPr>
      <w:r>
        <w:t xml:space="preserve">97% uptime, tier-1 &lt; 24 hr, refund &lt; 24 hr cashless, cold-chain &lt; 4 hr, telemetry data export.</w:t>
      </w:r>
    </w:p>
    <w:p>
      <w:pPr>
        <w:spacing w:after="60" w:before="120"/>
      </w:pPr>
      <w:r>
        <w:rPr>
          <w:b/>
          <w:bCs/>
        </w:rPr>
        <w:t xml:space="preserve">5. Section E — Resident experience + Fair Housing</w:t>
      </w:r>
    </w:p>
    <w:p>
      <w:pPr>
        <w:spacing w:after="120"/>
      </w:pPr>
      <w:r>
        <w:t xml:space="preserve">ADA Title III reach range; Fair Housing Act protected-class neutrality on planogram; package-room placement coordination; pet-friendly snack consideration.</w:t>
      </w:r>
    </w:p>
    <w:p>
      <w:pPr>
        <w:spacing w:after="60" w:before="120"/>
      </w:pPr>
      <w:r>
        <w:rPr>
          <w:b/>
          <w:bCs/>
        </w:rPr>
        <w:t xml:space="preserve">6. Section F — Insurance + indemnification</w:t>
      </w:r>
    </w:p>
    <w:p>
      <w:pPr>
        <w:spacing w:after="120"/>
      </w:pPr>
      <w:r>
        <w:t xml:space="preserve">Operator CGL $2M, workers' comp, additional-insured endorsement naming owner + management company, hold-harmless for slip/trip + product liability.</w:t>
      </w:r>
    </w:p>
    <w:p>
      <w:pPr>
        <w:spacing w:after="60" w:before="120"/>
      </w:pPr>
      <w:r>
        <w:rPr>
          <w:b/>
          <w:bCs/>
        </w:rPr>
        <w:t xml:space="preserve">7. Section G — Term + termination + ownership change</w:t>
      </w:r>
    </w:p>
    <w:p>
      <w:pPr>
        <w:spacing w:after="120"/>
      </w:pPr>
      <w:r>
        <w:t xml:space="preserve">36-60 month term, mutual extension at renewal, termination for cause (30-day cure), termination on property sale (transition cooperation), equipment removal at operator cost.</w:t>
      </w:r>
    </w:p>
    <w:p>
      <w:pPr>
        <w:spacing w:after="60" w:before="120"/>
      </w:pPr>
      <w:r>
        <w:rPr>
          <w:b/>
          <w:bCs/>
        </w:rPr>
        <w:t xml:space="preserve">8. Section H — Data + privacy</w:t>
      </w:r>
    </w:p>
    <w:p>
      <w:pPr>
        <w:spacing w:after="120"/>
      </w:pPr>
      <w:r>
        <w:t xml:space="preserve">PCI-DSS v4.0; resident PII not shared with operator beyond transaction ID; data-breach notification per state breach-notification statute.</w:t>
      </w:r>
    </w:p>
    <w:p>
      <w:pPr>
        <w:pStyle w:val="Heading1"/>
        <w:spacing w:after="150" w:before="300"/>
      </w:pPr>
      <w:r>
        <w:t xml:space="preserve">2. Negotiation workflow</w:t>
      </w:r>
    </w:p>
    <w:p>
      <w:pPr>
        <w:spacing w:after="200"/>
      </w:pPr>
      <w:r>
        <w:t xml:space="preserve">Property managers negotiate vending contracts every 36-60 months. The workflow below typically runs 8-12 weeks from RFP issuance to signed contract. Adjust for portfolio scale.</w:t>
      </w:r>
    </w:p>
    <w:p>
      <w:pPr>
        <w:spacing w:after="60" w:before="120"/>
      </w:pPr>
      <w:r>
        <w:rPr>
          <w:b/>
          <w:bCs/>
        </w:rPr>
        <w:t xml:space="preserve">1. Pre-RFP scope definition</w:t>
      </w:r>
    </w:p>
    <w:p>
      <w:pPr>
        <w:spacing w:after="120"/>
      </w:pPr>
      <w:r>
        <w:t xml:space="preserve">Asset manager + regional property manager + amenity programming lead define scope: which properties, which amenity rooms, exclusivity expectations, commission floor, planogram philosophy.</w:t>
      </w:r>
    </w:p>
    <w:p>
      <w:pPr>
        <w:spacing w:after="60" w:before="120"/>
      </w:pPr>
      <w:r>
        <w:rPr>
          <w:b/>
          <w:bCs/>
        </w:rPr>
        <w:t xml:space="preserve">2. Operator longlist</w:t>
      </w:r>
    </w:p>
    <w:p>
      <w:pPr>
        <w:spacing w:after="120"/>
      </w:pPr>
      <w:r>
        <w:t xml:space="preserve">Identify 6-10 operators with multifamily experience at comparable portfolio scale; verify telemetry + insurance + reference availability.</w:t>
      </w:r>
    </w:p>
    <w:p>
      <w:pPr>
        <w:spacing w:after="60" w:before="120"/>
      </w:pPr>
      <w:r>
        <w:rPr>
          <w:b/>
          <w:bCs/>
        </w:rPr>
        <w:t xml:space="preserve">3. RFP issuance</w:t>
      </w:r>
    </w:p>
    <w:p>
      <w:pPr>
        <w:spacing w:after="120"/>
      </w:pPr>
      <w:r>
        <w:t xml:space="preserve">Issue the RFP (template in Section 4 below) to the longlist; 4-week response window standard.</w:t>
      </w:r>
    </w:p>
    <w:p>
      <w:pPr>
        <w:spacing w:after="60" w:before="120"/>
      </w:pPr>
      <w:r>
        <w:rPr>
          <w:b/>
          <w:bCs/>
        </w:rPr>
        <w:t xml:space="preserve">4. Response evaluation</w:t>
      </w:r>
    </w:p>
    <w:p>
      <w:pPr>
        <w:spacing w:after="120"/>
      </w:pPr>
      <w:r>
        <w:t xml:space="preserve">Score against the rubric; shortlist 3 operators for interview + property walk.</w:t>
      </w:r>
    </w:p>
    <w:p>
      <w:pPr>
        <w:spacing w:after="60" w:before="120"/>
      </w:pPr>
      <w:r>
        <w:rPr>
          <w:b/>
          <w:bCs/>
        </w:rPr>
        <w:t xml:space="preserve">5. Interview + property walk</w:t>
      </w:r>
    </w:p>
    <w:p>
      <w:pPr>
        <w:spacing w:after="120"/>
      </w:pPr>
      <w:r>
        <w:t xml:space="preserve">Walk 2-3 representative properties with each shortlisted operator; review their telemetry dashboard live; verify ADA + reach range on existing client property.</w:t>
      </w:r>
    </w:p>
    <w:p>
      <w:pPr>
        <w:spacing w:after="60" w:before="120"/>
      </w:pPr>
      <w:r>
        <w:rPr>
          <w:b/>
          <w:bCs/>
        </w:rPr>
        <w:t xml:space="preserve">6. Reference calls</w:t>
      </w:r>
    </w:p>
    <w:p>
      <w:pPr>
        <w:spacing w:after="120"/>
      </w:pPr>
      <w:r>
        <w:t xml:space="preserve">Three references per shortlisted operator; use the reference-check script in Section 6.</w:t>
      </w:r>
    </w:p>
    <w:p>
      <w:pPr>
        <w:spacing w:after="60" w:before="120"/>
      </w:pPr>
      <w:r>
        <w:rPr>
          <w:b/>
          <w:bCs/>
        </w:rPr>
        <w:t xml:space="preserve">7. Best-and-final + selection</w:t>
      </w:r>
    </w:p>
    <w:p>
      <w:pPr>
        <w:spacing w:after="120"/>
      </w:pPr>
      <w:r>
        <w:t xml:space="preserve">Request best-and-final on commission + investment + SLA from top 2; select.</w:t>
      </w:r>
    </w:p>
    <w:p>
      <w:pPr>
        <w:spacing w:after="60" w:before="120"/>
      </w:pPr>
      <w:r>
        <w:rPr>
          <w:b/>
          <w:bCs/>
        </w:rPr>
        <w:t xml:space="preserve">8. Contract negotiation</w:t>
      </w:r>
    </w:p>
    <w:p>
      <w:pPr>
        <w:spacing w:after="120"/>
      </w:pPr>
      <w:r>
        <w:t xml:space="preserve">Counsel review (use the checklist in Section 7); negotiate the five most-litigated clauses (exclusivity, commission method, SLA remedies, equipment removal, audit right).</w:t>
      </w:r>
    </w:p>
    <w:p>
      <w:pPr>
        <w:spacing w:after="60" w:before="120"/>
      </w:pPr>
      <w:r>
        <w:rPr>
          <w:b/>
          <w:bCs/>
        </w:rPr>
        <w:t xml:space="preserve">9. Signing + implementation</w:t>
      </w:r>
    </w:p>
    <w:p>
      <w:pPr>
        <w:spacing w:after="120"/>
      </w:pPr>
      <w:r>
        <w:t xml:space="preserve">Signed contract with exhibits; 30-60 day implementation including equipment install + telemetry activation + resident communication.</w:t>
      </w:r>
    </w:p>
    <w:p>
      <w:pPr>
        <w:pStyle w:val="Heading1"/>
        <w:spacing w:after="150" w:before="300"/>
      </w:pPr>
      <w:r>
        <w:t xml:space="preserve">3. Fair Housing + resident experience considerations</w:t>
      </w:r>
    </w:p>
    <w:p>
      <w:pPr>
        <w:spacing w:after="200"/>
      </w:pPr>
      <w:r>
        <w:t xml:space="preserve">Multifamily contracts have a Fair Housing Act overlay (42 USC §3601 et seq.) that commercial vending does not. Operator must not market or position equipment in ways that affect protected classes differently.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Planogram + signage not targeted to protected classes (race, color, national origin, religion, sex, familial status, disability, source of income in some jurisdictions)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Title III reach range + clear floor space on every device; reach-range applies broadly given that residents include people with disabilities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Family-friendly planogram — child-appropriate SKUs available where amenity rooms see family use; allergen-aware (FALCPA)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Pet-friendly snack consideration where the property has a pet park or pet-spa amenity; pet treats acceptable in pet-amenity-area machines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Senior-living adjacency — if the property has an independent-senior wing or active-adult building, plan-ogram tilts toward lower-sodium + lower-sugar + softer-texture options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Language accessibility — signage in primary languages of the resident base where the management company maintains a Limited English Proficiency plan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flow accessible via mobile app + SMS — phone + on-machine options for residents without app access</w:t>
      </w:r>
    </w:p>
    <w:p>
      <w:pPr>
        <w:pStyle w:val="Heading1"/>
        <w:spacing w:after="150" w:before="300"/>
      </w:pPr>
      <w:r>
        <w:t xml:space="preserve">4. RFP template — required sections</w:t>
      </w:r>
    </w:p>
    <w:p>
      <w:pPr>
        <w:spacing w:after="60" w:before="120"/>
      </w:pPr>
      <w:r>
        <w:rPr>
          <w:b/>
          <w:bCs/>
        </w:rPr>
        <w:t xml:space="preserve">1. Section A — Solicitation summary</w:t>
      </w:r>
    </w:p>
    <w:p>
      <w:pPr>
        <w:spacing w:after="120"/>
      </w:pPr>
      <w:r>
        <w:t xml:space="preserve">Owner + management company + portfolio scale; response deadline; format; evaluation timeline.</w:t>
      </w:r>
    </w:p>
    <w:p>
      <w:pPr>
        <w:spacing w:after="60" w:before="120"/>
      </w:pPr>
      <w:r>
        <w:rPr>
          <w:b/>
          <w:bCs/>
        </w:rPr>
        <w:t xml:space="preserve">2. Section B — Properties + scope</w:t>
      </w:r>
    </w:p>
    <w:p>
      <w:pPr>
        <w:spacing w:after="120"/>
      </w:pPr>
      <w:r>
        <w:t xml:space="preserve">Property addresses + amenity rooms + current equipment + replacement scope; per-property unit count + resident demographic snapshot.</w:t>
      </w:r>
    </w:p>
    <w:p>
      <w:pPr>
        <w:spacing w:after="60" w:before="120"/>
      </w:pPr>
      <w:r>
        <w:rPr>
          <w:b/>
          <w:bCs/>
        </w:rPr>
        <w:t xml:space="preserve">3. Section C — Bidder qualifications + gating</w:t>
      </w:r>
    </w:p>
    <w:p>
      <w:pPr>
        <w:spacing w:after="120"/>
      </w:pPr>
      <w:r>
        <w:t xml:space="preserve">Multifamily experience, fleet count, technician geography, three multifamily references with named asset manager or regional PM contact.</w:t>
      </w:r>
    </w:p>
    <w:p>
      <w:pPr>
        <w:spacing w:after="60" w:before="120"/>
      </w:pPr>
      <w:r>
        <w:rPr>
          <w:b/>
          <w:bCs/>
        </w:rPr>
        <w:t xml:space="preserve">4. Section D — Equipment + telemetry spec</w:t>
      </w:r>
    </w:p>
    <w:p>
      <w:pPr>
        <w:spacing w:after="120"/>
      </w:pPr>
      <w:r>
        <w:t xml:space="preserve">ENERGY STAR refrigerated devices, AIM Act refrigerant compliance, cellular telemetry + heartbeat + export, payment ecosystem + PCI v4.0 attestation.</w:t>
      </w:r>
    </w:p>
    <w:p>
      <w:pPr>
        <w:spacing w:after="60" w:before="120"/>
      </w:pPr>
      <w:r>
        <w:rPr>
          <w:b/>
          <w:bCs/>
        </w:rPr>
        <w:t xml:space="preserve">5. Section E — SLA + remedies</w:t>
      </w:r>
    </w:p>
    <w:p>
      <w:pPr>
        <w:spacing w:after="120"/>
      </w:pPr>
      <w:r>
        <w:t xml:space="preserve">97% uptime, tier-1 &lt; 24 hr, refund &lt; 24 hr cashless, cold-chain &lt; 4 hr, commission credit + SIP + termination remedies.</w:t>
      </w:r>
    </w:p>
    <w:p>
      <w:pPr>
        <w:spacing w:after="60" w:before="120"/>
      </w:pPr>
      <w:r>
        <w:rPr>
          <w:b/>
          <w:bCs/>
        </w:rPr>
        <w:t xml:space="preserve">6. Section F — Resident experience + Fair Housing</w:t>
      </w:r>
    </w:p>
    <w:p>
      <w:pPr>
        <w:spacing w:after="120"/>
      </w:pPr>
      <w:r>
        <w:t xml:space="preserve">ADA attestation, allergen labeling, family + pet + senior planogram consideration, multilingual signage.</w:t>
      </w:r>
    </w:p>
    <w:p>
      <w:pPr>
        <w:spacing w:after="60" w:before="120"/>
      </w:pPr>
      <w:r>
        <w:rPr>
          <w:b/>
          <w:bCs/>
        </w:rPr>
        <w:t xml:space="preserve">7. Section G — Commercial terms</w:t>
      </w:r>
    </w:p>
    <w:p>
      <w:pPr>
        <w:spacing w:after="120"/>
      </w:pPr>
      <w:r>
        <w:t xml:space="preserve">Commission rate + method + cadence, audit right, equipment investment, term + renewal.</w:t>
      </w:r>
    </w:p>
    <w:p>
      <w:pPr>
        <w:spacing w:after="60" w:before="120"/>
      </w:pPr>
      <w:r>
        <w:rPr>
          <w:b/>
          <w:bCs/>
        </w:rPr>
        <w:t xml:space="preserve">8. Section H — Implementation + change of property ownership</w:t>
      </w:r>
    </w:p>
    <w:p>
      <w:pPr>
        <w:spacing w:after="120"/>
      </w:pPr>
      <w:r>
        <w:t xml:space="preserve">Implementation schedule, resident communication plan, transition protocol on property sale or refinance.</w:t>
      </w:r>
    </w:p>
    <w:p>
      <w:pPr>
        <w:pStyle w:val="Heading1"/>
        <w:spacing w:after="150" w:before="300"/>
      </w:pPr>
      <w:r>
        <w:t xml:space="preserve">5. SLA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SLA 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Remedy</w:t>
            </w:r>
          </w:p>
        </w:tc>
      </w:tr>
      <w:tr>
        <w:tc>
          <w:p>
            <w:r>
              <w:t xml:space="preserve">Per-machine uptime</w:t>
            </w:r>
          </w:p>
        </w:tc>
        <w:tc>
          <w:p>
            <w:r>
              <w:t xml:space="preserve">97% monthly</w:t>
            </w:r>
          </w:p>
        </w:tc>
        <w:tc>
          <w:p>
            <w:r>
              <w:t xml:space="preserve">Telemetry — minutes online / minutes in month</w:t>
            </w:r>
          </w:p>
        </w:tc>
        <w:tc>
          <w:p>
            <w:r>
              <w:t xml:space="preserve">Commission credit &lt; 95%; SIP &lt; 92%; termination right &lt; 90% × 2 months</w:t>
            </w:r>
          </w:p>
        </w:tc>
      </w:tr>
      <w:tr>
        <w:tc>
          <w:p>
            <w:r>
              <w:t xml:space="preserve">Tier-1 ticket resolve</w:t>
            </w:r>
          </w:p>
        </w:tc>
        <w:tc>
          <w:p>
            <w:r>
              <w:t xml:space="preserve">&lt; 24 hrs</w:t>
            </w:r>
          </w:p>
        </w:tc>
        <w:tc>
          <w:p>
            <w:r>
              <w:t xml:space="preserve">Operator CRM + telemetry</w:t>
            </w:r>
          </w:p>
        </w:tc>
        <w:tc>
          <w:p>
            <w:r>
              <w:t xml:space="preserve">Per-ticket commission credit</w:t>
            </w:r>
          </w:p>
        </w:tc>
      </w:tr>
      <w:tr>
        <w:tc>
          <w:p>
            <w:r>
              <w:t xml:space="preserve">Tier-2 ticket resolve</w:t>
            </w:r>
          </w:p>
        </w:tc>
        <w:tc>
          <w:p>
            <w:r>
              <w:t xml:space="preserve">&lt; 5 business days</w:t>
            </w:r>
          </w:p>
        </w:tc>
        <w:tc>
          <w:p>
            <w:r>
              <w:t xml:space="preserve">Operator CRM</w:t>
            </w:r>
          </w:p>
        </w:tc>
        <w:tc>
          <w:p>
            <w:r>
              <w:t xml:space="preserve">QBR-documented</w:t>
            </w:r>
          </w:p>
        </w:tc>
      </w:tr>
      <w:tr>
        <w:tc>
          <w:p>
            <w:r>
              <w:t xml:space="preserve">Refund response</w:t>
            </w:r>
          </w:p>
        </w:tc>
        <w:tc>
          <w:p>
            <w:r>
              <w:t xml:space="preserve">Cashless &lt; 24 hrs via app/SMS; cash &lt; 7 days</w:t>
            </w:r>
          </w:p>
        </w:tc>
        <w:tc>
          <w:p>
            <w:r>
              <w:t xml:space="preserve">Refund log</w:t>
            </w:r>
          </w:p>
        </w:tc>
        <w:tc>
          <w:p>
            <w:r>
              <w:t xml:space="preserve">Refund rate &gt; 2% triggers planogram review</w:t>
            </w:r>
          </w:p>
        </w:tc>
      </w:tr>
      <w:tr>
        <w:tc>
          <w:p>
            <w:r>
              <w:t xml:space="preserve">Cold-chain</w:t>
            </w:r>
          </w:p>
        </w:tc>
        <w:tc>
          <w:p>
            <w:r>
              <w:t xml:space="preserve">Continuous 35-40°F; excursion &lt; 4 hrs</w:t>
            </w:r>
          </w:p>
        </w:tc>
        <w:tc>
          <w:p>
            <w:r>
              <w:t xml:space="preserve">Telemetry temperature feed</w:t>
            </w:r>
          </w:p>
        </w:tc>
        <w:tc>
          <w:p>
            <w:r>
              <w:t xml:space="preserve">Spoilage replacement + root-cause</w:t>
            </w:r>
          </w:p>
        </w:tc>
      </w:tr>
      <w:tr>
        <w:tc>
          <w:p>
            <w:r>
              <w:t xml:space="preserve">Restock cadence</w:t>
            </w:r>
          </w:p>
        </w:tc>
        <w:tc>
          <w:p>
            <w:r>
              <w:t xml:space="preserve">Telemetry-driven; minimum weekly</w:t>
            </w:r>
          </w:p>
        </w:tc>
        <w:tc>
          <w:p>
            <w:r>
              <w:t xml:space="preserve">Operator restock log</w:t>
            </w:r>
          </w:p>
        </w:tc>
        <w:tc>
          <w:p>
            <w:r>
              <w:t xml:space="preserve">Stockout rate &gt; 3% triggers cadence review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Reference-check script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How long has this operator served your portfolio, and what was the last renewal experience?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What's the current per-machine uptime you measure, and how does the operator report it?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Walk me through the last tier-1 service ticket — incident, response, resolution.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How does the refund flow work in practice, and what's your refund rate?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Have you transitioned a property under operator ownership during the term — how did the operator handle equipment + commission?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Does the operator coordinate with your amenity programming team, or do they operate independently?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If you were starting today, what would you change in the contract?</w:t>
      </w:r>
    </w:p>
    <w:p>
      <w:pPr>
        <w:pStyle w:val="Heading1"/>
        <w:spacing w:after="150" w:before="300"/>
      </w:pPr>
      <w:r>
        <w:t xml:space="preserve">7. Legal review checklist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Eight contract sections present + complete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Exclusivity scope clearly defined; coordination with any beverage pouring-rights contract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methodology documented with a numerical worked example as exhibit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SLA targets + measurement + monetary remedies all present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Audit right with telemetry data export confirmed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+ FALCPA + PCI v4.0 attestation language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Fair Housing Act planogram neutrality language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certificates verified — limits, additional-insured, waiver of subrogation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Termination terms — cause + convenience + ownership change + equipment removal at operator cost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Data + privacy — PCI v4.0 + state breach-notification compliance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Governing law + venue + dispute-resolution + attorney's fees</w:t>
      </w:r>
    </w:p>
    <w:p>
      <w:pPr>
        <w:spacing w:before="400"/>
      </w:pPr>
      <w:r>
        <w:rPr>
          <w:i/>
          <w:iCs/>
          <w:color w:val="6B7280"/>
        </w:rPr>
        <w:t xml:space="preserve">This framework is a working contractual reference, not legal advice. Final contract should be reviewed by owner counsel + management company counsel. Multifamily contracts that survive ownership change, amenity-room programming changes, and resident-experience evolution share these eight sections + the negotiation workflow above; gaps in any of them surface in the first 24 months.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Apartment Vending Contract Framework</dc:title>
  <dc:creator>LetUsVending</dc:creator>
  <dc:description>Eight contract sections, negotiation workflow, RFP template, and legal review checklist for multifamily property managers</dc:description>
  <cp:lastModifiedBy>Un-named</cp:lastModifiedBy>
  <cp:revision>1</cp:revision>
  <dcterms:created xsi:type="dcterms:W3CDTF">2026-05-17T13:18:10.856Z</dcterms:created>
  <dcterms:modified xsi:type="dcterms:W3CDTF">2026-05-17T13:18:10.857Z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