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Big-Box Store Vending RFP Response Template</w:t>
      </w:r>
    </w:p>
    <w:p>
      <w:pPr>
        <w:spacing w:after="200"/>
      </w:pPr>
      <w:r>
        <w:rPr>
          <w:i/>
          <w:iCs/>
          <w:color w:val="6B7280"/>
        </w:rPr>
        <w:t xml:space="preserve">Telemetry, sustainability, SLA, and pricing — the response framework operators use to score top-of-stack</w:t>
      </w:r>
    </w:p>
    <w:p>
      <w:pPr>
        <w:spacing w:after="300"/>
      </w:pPr>
      <w:r>
        <w:t xml:space="preserve">Big-box retail procurement teams (Walmart Realty, Target Property Services, Costco Real Estate, Lowe's Property Management, Home Depot Property Services, Best Buy Real Estate, Sam's Club, BJ's Wholesale) score vending RFPs on four to six dimensions with weighting that puts telemetry, sustainability, and SLA above raw commission rate. This response template gives operators the structure to address each scoring dimension explicitly, with the citations + numbers procurement evaluators expect to see.</w:t>
      </w:r>
    </w:p>
    <w:p>
      <w:pPr>
        <w:pStyle w:val="Heading1"/>
        <w:spacing w:after="150" w:before="300"/>
      </w:pPr>
      <w:r>
        <w:t xml:space="preserve">1. Executive summary — section A of the response</w:t>
      </w:r>
    </w:p>
    <w:p>
      <w:pPr>
        <w:spacing w:after="200"/>
      </w:pPr>
      <w:r>
        <w:t xml:space="preserve">One page maximum. Lead with the three differentiators procurement scores highest: telemetry capability, sustainability program, and SLA architecture. Save commission economics for the financial section.</w:t>
      </w:r>
    </w:p>
    <w:p>
      <w:pPr>
        <w:spacing w:after="120"/>
      </w:pPr>
      <w:r>
        <w:rPr>
          <w:b/>
          <w:bCs/>
          <w:color w:val="111827"/>
        </w:rPr>
        <w:t xml:space="preserve">Bidder profile: </w:t>
      </w:r>
      <w:r>
        <w:t xml:space="preserve">Legal entity, years in market, footprint by region, regulated-procurement experience (federal, state, big-box). Include certifications: ISO 9001, ISO 14001 where applicable.</w:t>
      </w:r>
    </w:p>
    <w:p>
      <w:pPr>
        <w:spacing w:after="120"/>
      </w:pPr>
      <w:r>
        <w:rPr>
          <w:b/>
          <w:bCs/>
          <w:color w:val="111827"/>
        </w:rPr>
        <w:t xml:space="preserve">Telemetry summary: </w:t>
      </w:r>
      <w:r>
        <w:t xml:space="preserve">Telemetry platform (Cantaloupe Seed, Nayax MoMa, 365 Retail Markets, AWM Smart Shelf), heartbeat interval, payment vendor, integration with retailer property management.</w:t>
      </w:r>
    </w:p>
    <w:p>
      <w:pPr>
        <w:spacing w:after="120"/>
      </w:pPr>
      <w:r>
        <w:rPr>
          <w:b/>
          <w:bCs/>
          <w:color w:val="111827"/>
        </w:rPr>
        <w:t xml:space="preserve">Sustainability summary: </w:t>
      </w:r>
      <w:r>
        <w:t xml:space="preserve">ENERGY STAR vending machine commitment, refrigerant compliance (HFC phase-down per AIM Act), recyclable packaging share, route consolidation + fleet emissions baseline.</w:t>
      </w:r>
    </w:p>
    <w:p>
      <w:pPr>
        <w:spacing w:after="120"/>
      </w:pPr>
      <w:r>
        <w:rPr>
          <w:b/>
          <w:bCs/>
          <w:color w:val="111827"/>
        </w:rPr>
        <w:t xml:space="preserve">SLA summary: </w:t>
      </w:r>
      <w:r>
        <w:t xml:space="preserve">Uptime target, ticket SLA tiers, restock cadence, refund mechanism, audit-right offering.</w:t>
      </w:r>
    </w:p>
    <w:p>
      <w:pPr>
        <w:spacing w:after="120"/>
      </w:pPr>
      <w:r>
        <w:rPr>
          <w:b/>
          <w:bCs/>
          <w:color w:val="111827"/>
        </w:rPr>
        <w:t xml:space="preserve">References: </w:t>
      </w:r>
      <w:r>
        <w:t xml:space="preserve">Three big-box or large-format retail references at comparable scale, with named procurement contacts.</w:t>
      </w:r>
    </w:p>
    <w:p>
      <w:pPr>
        <w:pStyle w:val="Heading1"/>
        <w:spacing w:after="150" w:before="300"/>
      </w:pPr>
      <w:r>
        <w:t xml:space="preserve">2. Telemetry response — section B</w:t>
      </w:r>
    </w:p>
    <w:p>
      <w:pPr>
        <w:spacing w:after="200"/>
      </w:pPr>
      <w:r>
        <w:t xml:space="preserve">Procurement scores telemetry on heartbeat frequency, data export capability, payment integration, and audit transparency. Cite vendor + version + integration mechanism.</w:t>
      </w:r>
    </w:p>
    <w:p>
      <w:pPr>
        <w:spacing w:after="60" w:before="120"/>
      </w:pPr>
      <w:r>
        <w:rPr>
          <w:b/>
          <w:bCs/>
        </w:rPr>
        <w:t xml:space="preserve">1. Per-machine telemetry</w:t>
      </w:r>
    </w:p>
    <w:p>
      <w:pPr>
        <w:spacing w:after="120"/>
      </w:pPr>
      <w:r>
        <w:t xml:space="preserve">Cellular-modem-enabled on 100% of placed equipment. Heartbeat ≤ 15 minutes. Vendor: Cantaloupe Seed / Nayax / 365 Retail Markets / AWM Smart Shelf. Provide screenshot or live demo on request.</w:t>
      </w:r>
    </w:p>
    <w:p>
      <w:pPr>
        <w:spacing w:after="60" w:before="120"/>
      </w:pPr>
      <w:r>
        <w:rPr>
          <w:b/>
          <w:bCs/>
        </w:rPr>
        <w:t xml:space="preserve">2. Sales + uptime export</w:t>
      </w:r>
    </w:p>
    <w:p>
      <w:pPr>
        <w:spacing w:after="120"/>
      </w:pPr>
      <w:r>
        <w:t xml:space="preserve">Daily CSV or API export to retailer property management at machine-store-region granularity. Confirm field list against the RFP appendix.</w:t>
      </w:r>
    </w:p>
    <w:p>
      <w:pPr>
        <w:spacing w:after="60" w:before="120"/>
      </w:pPr>
      <w:r>
        <w:rPr>
          <w:b/>
          <w:bCs/>
        </w:rPr>
        <w:t xml:space="preserve">3. Payment ecosystem</w:t>
      </w:r>
    </w:p>
    <w:p>
      <w:pPr>
        <w:spacing w:after="120"/>
      </w:pPr>
      <w:r>
        <w:t xml:space="preserve">EMV chip + contactless (NFC) + mobile wallet (Apple Pay, Google Pay, Samsung Pay), retailer-loyalty integration where applicable. PCI-DSS Level 1 attestation through payment vendor.</w:t>
      </w:r>
    </w:p>
    <w:p>
      <w:pPr>
        <w:spacing w:after="60" w:before="120"/>
      </w:pPr>
      <w:r>
        <w:rPr>
          <w:b/>
          <w:bCs/>
        </w:rPr>
        <w:t xml:space="preserve">4. Audit right</w:t>
      </w:r>
    </w:p>
    <w:p>
      <w:pPr>
        <w:spacing w:after="120"/>
      </w:pPr>
      <w:r>
        <w:t xml:space="preserve">Retailer audit of commission base against telemetry data; quarterly reconciliation memo; variance &gt; 1% investigated with root-cause memo.</w:t>
      </w:r>
    </w:p>
    <w:p>
      <w:pPr>
        <w:spacing w:after="60" w:before="120"/>
      </w:pPr>
      <w:r>
        <w:rPr>
          <w:b/>
          <w:bCs/>
        </w:rPr>
        <w:t xml:space="preserve">5. Cold-chain telemetry</w:t>
      </w:r>
    </w:p>
    <w:p>
      <w:pPr>
        <w:spacing w:after="120"/>
      </w:pPr>
      <w:r>
        <w:t xml:space="preserve">Continuous temperature monitoring on refrigerated devices; excursion outside 35-40°F triggers alert with 4-hour SLA; logged for FSMA Section 204 traceability where the planogram includes regulated SKUs.</w:t>
      </w:r>
    </w:p>
    <w:p>
      <w:pPr>
        <w:pStyle w:val="Heading1"/>
        <w:spacing w:after="150" w:before="300"/>
      </w:pPr>
      <w:r>
        <w:t xml:space="preserve">3. Sustainability response — section C</w:t>
      </w:r>
    </w:p>
    <w:p>
      <w:pPr>
        <w:spacing w:after="200"/>
      </w:pPr>
      <w:r>
        <w:t xml:space="preserve">Big-box retailers report Scope 3 emissions and publish corporate sustainability reports (Walmart Project Gigaton, Target Forward, Costco Climate Commitment, Lowe's 2030 commitments). Operators that document sustainability practices score materially higher; absent documentation, the response is often disqualified.</w:t>
      </w:r>
    </w:p>
    <w:p>
      <w:pPr>
        <w:spacing w:after="120"/>
      </w:pPr>
      <w:r>
        <w:rPr>
          <w:b/>
          <w:bCs/>
          <w:color w:val="111827"/>
        </w:rPr>
        <w:t xml:space="preserve">Equipment: </w:t>
      </w:r>
      <w:r>
        <w:t xml:space="preserve">ENERGY STAR certified vending machines on new deployments where available (CMA + ENERGY STAR Vending Machine spec). Document refrigerant type and confirm AIM Act compliance for any refrigerated unit.</w:t>
      </w:r>
    </w:p>
    <w:p>
      <w:pPr>
        <w:spacing w:after="120"/>
      </w:pPr>
      <w:r>
        <w:rPr>
          <w:b/>
          <w:bCs/>
          <w:color w:val="111827"/>
        </w:rPr>
        <w:t xml:space="preserve">Packaging: </w:t>
      </w:r>
      <w:r>
        <w:t xml:space="preserve">Share of SKUs with recyclable or compostable primary packaging; tracking via SKU master; quarterly report to retailer sustainability lead.</w:t>
      </w:r>
    </w:p>
    <w:p>
      <w:pPr>
        <w:spacing w:after="120"/>
      </w:pPr>
      <w:r>
        <w:rPr>
          <w:b/>
          <w:bCs/>
          <w:color w:val="111827"/>
        </w:rPr>
        <w:t xml:space="preserve">Route consolidation: </w:t>
      </w:r>
      <w:r>
        <w:t xml:space="preserve">Telemetry-driven route optimization to reduce truck miles per restock; route emissions baselined and reported quarterly.</w:t>
      </w:r>
    </w:p>
    <w:p>
      <w:pPr>
        <w:spacing w:after="120"/>
      </w:pPr>
      <w:r>
        <w:rPr>
          <w:b/>
          <w:bCs/>
          <w:color w:val="111827"/>
        </w:rPr>
        <w:t xml:space="preserve">Fleet emissions: </w:t>
      </w:r>
      <w:r>
        <w:t xml:space="preserve">Fleet composition (ICE / hybrid / EV), planned EV transition timeline, Scope 1 emissions per stop.</w:t>
      </w:r>
    </w:p>
    <w:p>
      <w:pPr>
        <w:spacing w:after="120"/>
      </w:pPr>
      <w:r>
        <w:rPr>
          <w:b/>
          <w:bCs/>
          <w:color w:val="111827"/>
        </w:rPr>
        <w:t xml:space="preserve">Reverse logistics: </w:t>
      </w:r>
      <w:r>
        <w:t xml:space="preserve">Returned-packaging takeback program, machine-end-of-life recycling pathway, refurbishment + redeployment versus landfill.</w:t>
      </w:r>
    </w:p>
    <w:p>
      <w:pPr>
        <w:spacing w:after="120"/>
      </w:pPr>
      <w:r>
        <w:rPr>
          <w:b/>
          <w:bCs/>
          <w:color w:val="111827"/>
        </w:rPr>
        <w:t xml:space="preserve">Reporting: </w:t>
      </w:r>
      <w:r>
        <w:t xml:space="preserve">Quarterly sustainability scorecard aligned to the retailer's corporate sustainability report. Annual narrative aligned to Walmart Project Gigaton or equivalent.</w:t>
      </w:r>
    </w:p>
    <w:p>
      <w:pPr>
        <w:pStyle w:val="Heading1"/>
        <w:spacing w:after="150" w:before="300"/>
      </w:pPr>
      <w:r>
        <w:t xml:space="preserve">4. SLA response — section D</w:t>
      </w:r>
    </w:p>
    <w:p>
      <w:pPr>
        <w:spacing w:after="200"/>
      </w:pPr>
      <w:r>
        <w:t xml:space="preserve">Big-box retailers expect a multi-tier SLA with monetary remedies. Match the format of the RFP appendix; do not propose your own SLA structure if the RFP specifies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SLA dimension</w:t>
            </w:r>
          </w:p>
        </w:tc>
        <w:tc>
          <w:tcPr>
            <w:shd w:fill="2563EB" w:color="FFFFFF" w:val="clear"/>
          </w:tcPr>
          <w:p>
            <w:r>
              <w:rPr>
                <w:b/>
                <w:bCs/>
                <w:color w:val="FFFFFF"/>
              </w:rPr>
              <w:t xml:space="preserve">Target</w:t>
            </w:r>
          </w:p>
        </w:tc>
        <w:tc>
          <w:tcPr>
            <w:shd w:fill="2563EB" w:color="FFFFFF" w:val="clear"/>
          </w:tcPr>
          <w:p>
            <w:r>
              <w:rPr>
                <w:b/>
                <w:bCs/>
                <w:color w:val="FFFFFF"/>
              </w:rPr>
              <w:t xml:space="preserve">Measurement</w:t>
            </w:r>
          </w:p>
        </w:tc>
        <w:tc>
          <w:tcPr>
            <w:shd w:fill="2563EB" w:color="FFFFFF" w:val="clear"/>
          </w:tcPr>
          <w:p>
            <w:r>
              <w:rPr>
                <w:b/>
                <w:bCs/>
                <w:color w:val="FFFFFF"/>
              </w:rPr>
              <w:t xml:space="preserve">Remedy</w:t>
            </w:r>
          </w:p>
        </w:tc>
      </w:tr>
      <w:tr>
        <w:tc>
          <w:p>
            <w:r>
              <w:t xml:space="preserve">Per-machine uptime</w:t>
            </w:r>
          </w:p>
        </w:tc>
        <w:tc>
          <w:p>
            <w:r>
              <w:t xml:space="preserve">98% monthly</w:t>
            </w:r>
          </w:p>
        </w:tc>
        <w:tc>
          <w:p>
            <w:r>
              <w:t xml:space="preserve">Telemetry — minutes online / minutes in month</w:t>
            </w:r>
          </w:p>
        </w:tc>
        <w:tc>
          <w:p>
            <w:r>
              <w:t xml:space="preserve">Commission credit at &lt; 95%; service-improvement plan at &lt; 92%; termination right at &lt; 90% two consecutive months</w:t>
            </w:r>
          </w:p>
        </w:tc>
      </w:tr>
      <w:tr>
        <w:tc>
          <w:p>
            <w:r>
              <w:t xml:space="preserve">Tier-1 ticket (offline / payment failure / cold-chain)</w:t>
            </w:r>
          </w:p>
        </w:tc>
        <w:tc>
          <w:p>
            <w:r>
              <w:t xml:space="preserve">Acknowledge &lt; 4 hours; resolve &lt; 24 hours</w:t>
            </w:r>
          </w:p>
        </w:tc>
        <w:tc>
          <w:p>
            <w:r>
              <w:t xml:space="preserve">Operator CRM + retailer ticketing system</w:t>
            </w:r>
          </w:p>
        </w:tc>
        <w:tc>
          <w:p>
            <w:r>
              <w:t xml:space="preserve">Commission credit per ticket SLA miss</w:t>
            </w:r>
          </w:p>
        </w:tc>
      </w:tr>
      <w:tr>
        <w:tc>
          <w:p>
            <w:r>
              <w:t xml:space="preserve">Tier-2 ticket (stockout / planogram refresh)</w:t>
            </w:r>
          </w:p>
        </w:tc>
        <w:tc>
          <w:p>
            <w:r>
              <w:t xml:space="preserve">Acknowledge &lt; 24 hours; resolve &lt; 5 business days</w:t>
            </w:r>
          </w:p>
        </w:tc>
        <w:tc>
          <w:p>
            <w:r>
              <w:t xml:space="preserve">Operator CRM</w:t>
            </w:r>
          </w:p>
        </w:tc>
        <w:tc>
          <w:p>
            <w:r>
              <w:t xml:space="preserve">QBR documentation</w:t>
            </w:r>
          </w:p>
        </w:tc>
      </w:tr>
      <w:tr>
        <w:tc>
          <w:p>
            <w:r>
              <w:t xml:space="preserve">Refund response</w:t>
            </w:r>
          </w:p>
        </w:tc>
        <w:tc>
          <w:p>
            <w:r>
              <w:t xml:space="preserve">&lt; 24 hours cashless via app/SMS; cash &lt; 7 days</w:t>
            </w:r>
          </w:p>
        </w:tc>
        <w:tc>
          <w:p>
            <w:r>
              <w:t xml:space="preserve">Refund log</w:t>
            </w:r>
          </w:p>
        </w:tc>
        <w:tc>
          <w:p>
            <w:r>
              <w:t xml:space="preserve">Refund rate &gt; 2% triggers planogram review</w:t>
            </w:r>
          </w:p>
        </w:tc>
      </w:tr>
      <w:tr>
        <w:tc>
          <w:p>
            <w:r>
              <w:t xml:space="preserve">Cold-chain excursion</w:t>
            </w:r>
          </w:p>
        </w:tc>
        <w:tc>
          <w:p>
            <w:r>
              <w:t xml:space="preserve">Resolve &lt; 4 hours; spoiled product replaced</w:t>
            </w:r>
          </w:p>
        </w:tc>
        <w:tc>
          <w:p>
            <w:r>
              <w:t xml:space="preserve">Telemetry temperature feed</w:t>
            </w:r>
          </w:p>
        </w:tc>
        <w:tc>
          <w:p>
            <w:r>
              <w:t xml:space="preserve">Spoilage replacement + root-cause memo</w:t>
            </w:r>
          </w:p>
        </w:tc>
      </w:tr>
    </w:tbl>
    <w:p>
      <w:pPr>
        <w:spacing w:after="200"/>
      </w:pPr>
    </w:p>
    <w:p>
      <w:pPr>
        <w:pStyle w:val="Heading1"/>
        <w:spacing w:after="150" w:before="300"/>
      </w:pPr>
      <w:r>
        <w:t xml:space="preserve">5. Pricing response — section E</w:t>
      </w:r>
    </w:p>
    <w:p>
      <w:pPr>
        <w:spacing w:after="200"/>
      </w:pPr>
      <w:r>
        <w:t xml:space="preserve">Pricing in big-box RFPs is rarely the deciding factor (telemetry + sustainability + SLA outweigh commission rate by 60-70% of the score), but the pricing section still needs to be clean and defensible.</w:t>
      </w:r>
    </w:p>
    <w:p>
      <w:pPr>
        <w:spacing w:after="120"/>
      </w:pPr>
      <w:r>
        <w:rPr>
          <w:b/>
          <w:bCs/>
          <w:color w:val="111827"/>
        </w:rPr>
        <w:t xml:space="preserve">Commission rate: </w:t>
      </w:r>
      <w:r>
        <w:t xml:space="preserve">State the commission rate, calculation method (gross of refund, net of tax, etc.), and any tier breaks based on store volume. Match the retailer financial appendix format exactly.</w:t>
      </w:r>
    </w:p>
    <w:p>
      <w:pPr>
        <w:spacing w:after="120"/>
      </w:pPr>
      <w:r>
        <w:rPr>
          <w:b/>
          <w:bCs/>
          <w:color w:val="111827"/>
        </w:rPr>
        <w:t xml:space="preserve">Equipment investment: </w:t>
      </w:r>
      <w:r>
        <w:t xml:space="preserve">Operator capex for equipment + telemetry + cashless + façade. Confirm zero-capex offer to the retailer if applicable.</w:t>
      </w:r>
    </w:p>
    <w:p>
      <w:pPr>
        <w:spacing w:after="120"/>
      </w:pPr>
      <w:r>
        <w:rPr>
          <w:b/>
          <w:bCs/>
          <w:color w:val="111827"/>
        </w:rPr>
        <w:t xml:space="preserve">Refresh schedule: </w:t>
      </w:r>
      <w:r>
        <w:t xml:space="preserve">Equipment refresh every 5-7 years on operator capex; specify refresh trigger (age, repair frequency, sustainability upgrade).</w:t>
      </w:r>
    </w:p>
    <w:p>
      <w:pPr>
        <w:spacing w:after="120"/>
      </w:pPr>
      <w:r>
        <w:rPr>
          <w:b/>
          <w:bCs/>
          <w:color w:val="111827"/>
        </w:rPr>
        <w:t xml:space="preserve">Term + renewal: </w:t>
      </w:r>
      <w:r>
        <w:t xml:space="preserve">Initial term, renewal mechanism, market-rate review trigger. Match the retailer template.</w:t>
      </w:r>
    </w:p>
    <w:p>
      <w:pPr>
        <w:spacing w:after="120"/>
      </w:pPr>
      <w:r>
        <w:rPr>
          <w:b/>
          <w:bCs/>
          <w:color w:val="111827"/>
        </w:rPr>
        <w:t xml:space="preserve">Price escalation: </w:t>
      </w:r>
      <w:r>
        <w:t xml:space="preserve">Annual CPI escalation cap on consumer pricing where applicable; document the index used (BLS CPI Food Away From Home or Other Foods at Home).</w:t>
      </w:r>
    </w:p>
    <w:p>
      <w:pPr>
        <w:pStyle w:val="Heading1"/>
        <w:spacing w:after="150" w:before="300"/>
      </w:pPr>
      <w:r>
        <w:t xml:space="preserve">6. References + capability — section F</w:t>
      </w:r>
    </w:p>
    <w:p>
      <w:pPr>
        <w:spacing w:after="200"/>
      </w:pPr>
      <w:r>
        <w:t xml:space="preserve">Three references at comparable scale, all reachable, all approved to discuss the operator relationship. Big-box procurement calls references; absent or unreachable references downgrade the response.</w:t>
      </w:r>
    </w:p>
    <w:p>
      <w:pPr>
        <w:spacing w:after="120"/>
      </w:pPr>
      <w:r>
        <w:rPr>
          <w:b/>
          <w:bCs/>
          <w:color w:val="2563EB"/>
        </w:rPr>
        <w:t xml:space="preserve">☐  </w:t>
      </w:r>
      <w:r>
        <w:t xml:space="preserve">Reference 1 — comparable big-box or large-format retail; named procurement contact + email + phone; year of contract start</w:t>
      </w:r>
    </w:p>
    <w:p>
      <w:pPr>
        <w:spacing w:after="120"/>
      </w:pPr>
      <w:r>
        <w:rPr>
          <w:b/>
          <w:bCs/>
          <w:color w:val="2563EB"/>
        </w:rPr>
        <w:t xml:space="preserve">☐  </w:t>
      </w:r>
      <w:r>
        <w:t xml:space="preserve">Reference 2 — comparable scale (store count + sales volume); same detail</w:t>
      </w:r>
    </w:p>
    <w:p>
      <w:pPr>
        <w:spacing w:after="120"/>
      </w:pPr>
      <w:r>
        <w:rPr>
          <w:b/>
          <w:bCs/>
          <w:color w:val="2563EB"/>
        </w:rPr>
        <w:t xml:space="preserve">☐  </w:t>
      </w:r>
      <w:r>
        <w:t xml:space="preserve">Reference 3 — relevant geography (Northeast / Southeast / Midwest / West / national); same detail</w:t>
      </w:r>
    </w:p>
    <w:p>
      <w:pPr>
        <w:spacing w:after="120"/>
      </w:pPr>
      <w:r>
        <w:rPr>
          <w:b/>
          <w:bCs/>
          <w:color w:val="2563EB"/>
        </w:rPr>
        <w:t xml:space="preserve">☐  </w:t>
      </w:r>
      <w:r>
        <w:t xml:space="preserve">Capability narrative — fleet count, employee count, route count, geographic footprint, certifications</w:t>
      </w:r>
    </w:p>
    <w:p>
      <w:pPr>
        <w:spacing w:after="120"/>
      </w:pPr>
      <w:r>
        <w:rPr>
          <w:b/>
          <w:bCs/>
          <w:color w:val="2563EB"/>
        </w:rPr>
        <w:t xml:space="preserve">☐  </w:t>
      </w:r>
      <w:r>
        <w:t xml:space="preserve">Insurance + compliance — CGL $2M minimum aggregate, workers' comp, additional-insured endorsement readiness, OFAC + W-9 + e-Verify attestation</w:t>
      </w:r>
    </w:p>
    <w:p>
      <w:pPr>
        <w:spacing w:after="120"/>
      </w:pPr>
      <w:r>
        <w:rPr>
          <w:b/>
          <w:bCs/>
          <w:color w:val="2563EB"/>
        </w:rPr>
        <w:t xml:space="preserve">☐  </w:t>
      </w:r>
      <w:r>
        <w:t xml:space="preserve">ADA + Section 308 attestation across the placed fleet; example photo evidence</w:t>
      </w:r>
    </w:p>
    <w:p>
      <w:pPr>
        <w:pStyle w:val="Heading1"/>
        <w:spacing w:after="150" w:before="300"/>
      </w:pPr>
      <w:r>
        <w:t xml:space="preserve">7. Common response gaps that disqualify</w:t>
      </w:r>
    </w:p>
    <w:p>
      <w:pPr>
        <w:spacing w:after="120"/>
      </w:pPr>
      <w:r>
        <w:rPr>
          <w:b/>
          <w:bCs/>
          <w:color w:val="111827"/>
        </w:rPr>
        <w:t xml:space="preserve">Telemetry without heartbeat detail: </w:t>
      </w:r>
      <w:r>
        <w:t xml:space="preserve">'We have telemetry' fails — RFP wants heartbeat interval, vendor, export mechanism, payment-vendor PCI level. Be specific.</w:t>
      </w:r>
    </w:p>
    <w:p>
      <w:pPr>
        <w:spacing w:after="120"/>
      </w:pPr>
      <w:r>
        <w:rPr>
          <w:b/>
          <w:bCs/>
          <w:color w:val="111827"/>
        </w:rPr>
        <w:t xml:space="preserve">Sustainability platitudes without metrics: </w:t>
      </w:r>
      <w:r>
        <w:t xml:space="preserve">Procurement scores numbers — ENERGY STAR % of fleet, refrigerant types, recyclable packaging %, route-mile reduction %. Without numbers the response loses 40-50% of sustainability section points.</w:t>
      </w:r>
    </w:p>
    <w:p>
      <w:pPr>
        <w:spacing w:after="120"/>
      </w:pPr>
      <w:r>
        <w:rPr>
          <w:b/>
          <w:bCs/>
          <w:color w:val="111827"/>
        </w:rPr>
        <w:t xml:space="preserve">SLA without monetary remedies: </w:t>
      </w:r>
      <w:r>
        <w:t xml:space="preserve">Big-box RFPs expect commission credit, service-improvement plans, and termination triggers at threshold breaches. Aspirational SLA without remedies signals operator underinvestment.</w:t>
      </w:r>
    </w:p>
    <w:p>
      <w:pPr>
        <w:spacing w:after="120"/>
      </w:pPr>
      <w:r>
        <w:rPr>
          <w:b/>
          <w:bCs/>
          <w:color w:val="111827"/>
        </w:rPr>
        <w:t xml:space="preserve">Reference list with reachable contacts: </w:t>
      </w:r>
      <w:r>
        <w:t xml:space="preserve">Procurement calls references in week one of evaluation. Confirm reference availability + approval before submission.</w:t>
      </w:r>
    </w:p>
    <w:p>
      <w:pPr>
        <w:spacing w:after="120"/>
      </w:pPr>
      <w:r>
        <w:rPr>
          <w:b/>
          <w:bCs/>
          <w:color w:val="111827"/>
        </w:rPr>
        <w:t xml:space="preserve">Missing insurance + ADA attestation: </w:t>
      </w:r>
      <w:r>
        <w:t xml:space="preserve">Both are gating items. Many otherwise-strong responses are disqualified at the compliance screen.</w:t>
      </w:r>
    </w:p>
    <w:p>
      <w:pPr>
        <w:spacing w:before="400"/>
      </w:pPr>
      <w:r>
        <w:rPr>
          <w:i/>
          <w:iCs/>
          <w:color w:val="6B7280"/>
        </w:rPr>
        <w:t xml:space="preserve">This template is a working response framework. Final response should be tailored to the specific big-box retailer's RFP appendix structure and financial template. Telemetry + sustainability + SLA score above pricing by 60-70% of the rubric across most major big-box procurement processes.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Big-Box Store Vending RFP Response Template</dc:title>
  <dc:creator>LetUsVending</dc:creator>
  <dc:description>Telemetry, sustainability, SLA, and pricing — the response framework operators use to score top-of-stack</dc:description>
  <cp:lastModifiedBy>Un-named</cp:lastModifiedBy>
  <cp:revision>1</cp:revision>
  <dcterms:created xsi:type="dcterms:W3CDTF">2026-05-17T13:18:11.454Z</dcterms:created>
  <dcterms:modified xsi:type="dcterms:W3CDTF">2026-05-17T13:18:11.455Z</dcterms:modified>
</cp:coreProperties>
</file>

<file path=docProps/custom.xml><?xml version="1.0" encoding="utf-8"?>
<Properties xmlns="http://schemas.openxmlformats.org/officeDocument/2006/custom-properties" xmlns:vt="http://schemas.openxmlformats.org/officeDocument/2006/docPropsVTypes"/>
</file>