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Arcade + FEC Vending Framework</w:t>
      </w:r>
    </w:p>
    <w:p>
      <w:pPr>
        <w:spacing w:after="200"/>
      </w:pPr>
      <w:r>
        <w:rPr>
          <w:i/>
          <w:iCs/>
          <w:color w:val="6B7280"/>
        </w:rPr>
        <w:t xml:space="preserve">Day-part planogram, arcade-card integration, redemption co-placement, surge calendar</w:t>
      </w:r>
    </w:p>
    <w:p>
      <w:pPr>
        <w:spacing w:after="300"/>
      </w:pPr>
      <w:r>
        <w:t xml:space="preserve">Use this framework to specify and operate vending inside a gaming arcade or family entertainment center (FEC). Each section is capability-framed and references NSF/ANSI 7 + 25, FDA Food Code 2022, FALCPA + FASTER Act allergen labeling, ADA Section 308, and PCI-DSS 4.0. Confirm operator capability in writing before contract execution.</w:t>
      </w:r>
    </w:p>
    <w:p>
      <w:pPr>
        <w:pStyle w:val="Heading1"/>
        <w:spacing w:after="150" w:before="300"/>
      </w:pPr>
      <w:r>
        <w:t xml:space="preserve">1. Day-part planogram template</w:t>
      </w:r>
    </w:p>
    <w:p>
      <w:pPr>
        <w:spacing w:after="200"/>
      </w:pPr>
      <w:r>
        <w:t xml:space="preserve">Arcade + FEC traffic patterns shift sharply across the day. Day-part the planogram so the assortment matches who is in the building at each hour.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Day-part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Emphasis</w:t>
            </w:r>
          </w:p>
        </w:tc>
      </w:tr>
      <w:tr>
        <w:tc>
          <w:p>
            <w:r>
              <w:t xml:space="preserve">Morning party + open play</w:t>
            </w:r>
          </w:p>
        </w:tc>
        <w:tc>
          <w:p>
            <w:r>
              <w:t xml:space="preserve">10 AM - 1 PM</w:t>
            </w:r>
          </w:p>
        </w:tc>
        <w:tc>
          <w:p>
            <w:r>
              <w:t xml:space="preserve">Birthday parties, school groups, families with young kids</w:t>
            </w:r>
          </w:p>
        </w:tc>
        <w:tc>
          <w:p>
            <w:r>
              <w:t xml:space="preserve">Kid-friendly snack, juice box, water, lighter beverages</w:t>
            </w:r>
          </w:p>
        </w:tc>
      </w:tr>
      <w:tr>
        <w:tc>
          <w:p>
            <w:r>
              <w:t xml:space="preserve">Afternoon family</w:t>
            </w:r>
          </w:p>
        </w:tc>
        <w:tc>
          <w:p>
            <w:r>
              <w:t xml:space="preserve">1 PM - 5 PM</w:t>
            </w:r>
          </w:p>
        </w:tc>
        <w:tc>
          <w:p>
            <w:r>
              <w:t xml:space="preserve">Mixed-age families, after-school groups</w:t>
            </w:r>
          </w:p>
        </w:tc>
        <w:tc>
          <w:p>
            <w:r>
              <w:t xml:space="preserve">Snack + beverage balanced; soda + chips weight</w:t>
            </w:r>
          </w:p>
        </w:tc>
      </w:tr>
      <w:tr>
        <w:tc>
          <w:p>
            <w:r>
              <w:t xml:space="preserve">After-school + teen</w:t>
            </w:r>
          </w:p>
        </w:tc>
        <w:tc>
          <w:p>
            <w:r>
              <w:t xml:space="preserve">3 PM - 7 PM</w:t>
            </w:r>
          </w:p>
        </w:tc>
        <w:tc>
          <w:p>
            <w:r>
              <w:t xml:space="preserve">Teens, pre-teens, family dinner crowd</w:t>
            </w:r>
          </w:p>
        </w:tc>
        <w:tc>
          <w:p>
            <w:r>
              <w:t xml:space="preserve">Energy drinks (where allowed), chips, candy, soda</w:t>
            </w:r>
          </w:p>
        </w:tc>
      </w:tr>
      <w:tr>
        <w:tc>
          <w:p>
            <w:r>
              <w:t xml:space="preserve">Evening + 21+</w:t>
            </w:r>
          </w:p>
        </w:tc>
        <w:tc>
          <w:p>
            <w:r>
              <w:t xml:space="preserve">7 PM - close</w:t>
            </w:r>
          </w:p>
        </w:tc>
        <w:tc>
          <w:p>
            <w:r>
              <w:t xml:space="preserve">Adults, date-night, league nights, 21+ programming</w:t>
            </w:r>
          </w:p>
        </w:tc>
        <w:tc>
          <w:p>
            <w:r>
              <w:t xml:space="preserve">Premium snack, RTD coffee, sparkling water, energy</w:t>
            </w:r>
          </w:p>
        </w:tc>
      </w:tr>
      <w:tr>
        <w:tc>
          <w:p>
            <w:r>
              <w:t xml:space="preserve">Late-night (where applicable)</w:t>
            </w:r>
          </w:p>
        </w:tc>
        <w:tc>
          <w:p>
            <w:r>
              <w:t xml:space="preserve">After 10 PM</w:t>
            </w:r>
          </w:p>
        </w:tc>
        <w:tc>
          <w:p>
            <w:r>
              <w:t xml:space="preserve">Adults, late-night programming</w:t>
            </w:r>
          </w:p>
        </w:tc>
        <w:tc>
          <w:p>
            <w:r>
              <w:t xml:space="preserve">Caffeine, comfort snacks, water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Arcade-card + payment integration</w:t>
      </w:r>
    </w:p>
    <w:p>
      <w:pPr>
        <w:spacing w:after="120"/>
      </w:pPr>
      <w:r>
        <w:rPr>
          <w:b/>
          <w:bCs/>
          <w:color w:val="111827"/>
        </w:rPr>
        <w:t xml:space="preserve">Arcade-card systems: </w:t>
      </w:r>
      <w:r>
        <w:t xml:space="preserve">Operator integrates with arcade-card system (Embed, Sacoa, CenterEdge, Intercard) via API or stored-value passthrough. Vending sales drawn from card balance or paid separately.</w:t>
      </w:r>
    </w:p>
    <w:p>
      <w:pPr>
        <w:spacing w:after="120"/>
      </w:pPr>
      <w:r>
        <w:rPr>
          <w:b/>
          <w:bCs/>
          <w:color w:val="111827"/>
        </w:rPr>
        <w:t xml:space="preserve">Cashless payment: </w:t>
      </w:r>
      <w:r>
        <w:t xml:space="preserve">Apple Pay, Google Pay, contactless EMV, plus arcade-card reader. PCI-DSS 4.0 attestation; no PAN storage at the machine; AOC + SAQ-B-IP on file.</w:t>
      </w:r>
    </w:p>
    <w:p>
      <w:pPr>
        <w:spacing w:after="120"/>
      </w:pPr>
      <w:r>
        <w:rPr>
          <w:b/>
          <w:bCs/>
          <w:color w:val="111827"/>
        </w:rPr>
        <w:t xml:space="preserve">Family wallet: </w:t>
      </w:r>
      <w:r>
        <w:t xml:space="preserve">Where arcade card system supports family-wallet, parent can pre-set vending spend cap per child card per day.</w:t>
      </w:r>
    </w:p>
    <w:p>
      <w:pPr>
        <w:spacing w:after="120"/>
      </w:pPr>
      <w:r>
        <w:rPr>
          <w:b/>
          <w:bCs/>
          <w:color w:val="111827"/>
        </w:rPr>
        <w:t xml:space="preserve">Loyalty integration: </w:t>
      </w:r>
      <w:r>
        <w:t xml:space="preserve">Loyalty points earned on vending purchases mirrored into arcade loyalty program; redeemable for game tokens or redemption tickets.</w:t>
      </w:r>
    </w:p>
    <w:p>
      <w:pPr>
        <w:spacing w:after="120"/>
      </w:pPr>
      <w:r>
        <w:rPr>
          <w:b/>
          <w:bCs/>
          <w:color w:val="111827"/>
        </w:rPr>
        <w:t xml:space="preserve">Refund flow: </w:t>
      </w:r>
      <w:r>
        <w:t xml:space="preserve">In-app or kiosk-driven refund; auto-credit to arcade card or cashless payment method within 24 hours; cash refund via on-site host.</w:t>
      </w:r>
    </w:p>
    <w:p>
      <w:pPr>
        <w:pStyle w:val="Heading1"/>
        <w:spacing w:after="150" w:before="300"/>
      </w:pPr>
      <w:r>
        <w:t xml:space="preserve">3. Redemption co-placement map</w:t>
      </w:r>
    </w:p>
    <w:p>
      <w:pPr>
        <w:spacing w:after="200"/>
      </w:pPr>
      <w:r>
        <w:t xml:space="preserve">Vending placed within sight-line of redemption counter (ticket-redemption / prize counter) lifts impulse beverage + snack purchase 15-30% during the redemption queue.</w:t>
      </w:r>
    </w:p>
    <w:p>
      <w:pPr>
        <w:spacing w:after="120"/>
      </w:pPr>
      <w:r>
        <w:rPr>
          <w:b/>
          <w:bCs/>
          <w:color w:val="111827"/>
        </w:rPr>
        <w:t xml:space="preserve">Primary placement — redemption counter line: </w:t>
      </w:r>
      <w:r>
        <w:t xml:space="preserve">Beverage merchandiser visible from the redemption queue; snack vendor within 3-5 ft of redemption window.</w:t>
      </w:r>
    </w:p>
    <w:p>
      <w:pPr>
        <w:spacing w:after="120"/>
      </w:pPr>
      <w:r>
        <w:rPr>
          <w:b/>
          <w:bCs/>
          <w:color w:val="111827"/>
        </w:rPr>
        <w:t xml:space="preserve">Secondary placement — game floor anchor: </w:t>
      </w:r>
      <w:r>
        <w:t xml:space="preserve">Combo vendor on the gaming floor at a major intersection or anchor attraction (redemption-game cluster, racing game cluster).</w:t>
      </w:r>
    </w:p>
    <w:p>
      <w:pPr>
        <w:spacing w:after="120"/>
      </w:pPr>
      <w:r>
        <w:rPr>
          <w:b/>
          <w:bCs/>
          <w:color w:val="111827"/>
        </w:rPr>
        <w:t xml:space="preserve">Tertiary — party-room amenity: </w:t>
      </w:r>
      <w:r>
        <w:t xml:space="preserve">Beverage merchandiser inside or adjacent to each party room for self-serve add-on beverages.</w:t>
      </w:r>
    </w:p>
    <w:p>
      <w:pPr>
        <w:spacing w:after="120"/>
      </w:pPr>
      <w:r>
        <w:rPr>
          <w:b/>
          <w:bCs/>
          <w:color w:val="111827"/>
        </w:rPr>
        <w:t xml:space="preserve">Sight-line + lighting: </w:t>
      </w:r>
      <w:r>
        <w:t xml:space="preserve">≥ 30 fc on machine face; clear sight-line from redemption queue position; no obstruction by signage or merchandise displays.</w:t>
      </w:r>
    </w:p>
    <w:p>
      <w:pPr>
        <w:spacing w:after="120"/>
      </w:pPr>
      <w:r>
        <w:rPr>
          <w:b/>
          <w:bCs/>
          <w:color w:val="111827"/>
        </w:rPr>
        <w:t xml:space="preserve">ADA compliance: </w:t>
      </w:r>
      <w:r>
        <w:t xml:space="preserve">30x48 in clear floor space, operable parts 15-48 in above finished floor, ≤ 5 lbf operating force per ADA Section 308 + 309.4.</w:t>
      </w:r>
    </w:p>
    <w:p>
      <w:pPr>
        <w:pStyle w:val="Heading1"/>
        <w:spacing w:after="150" w:before="300"/>
      </w:pPr>
      <w:r>
        <w:t xml:space="preserve">4. Surge calendar template</w:t>
      </w:r>
    </w:p>
    <w:p>
      <w:pPr>
        <w:spacing w:after="200"/>
      </w:pPr>
      <w:r>
        <w:t xml:space="preserve">FEC + arcade traffic spikes on specific dates. Pre-position inventory + service capacity against the surge calendar.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Surge 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Typical dates / windows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Demand multiplier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Pre-position action</w:t>
            </w:r>
          </w:p>
        </w:tc>
      </w:tr>
      <w:tr>
        <w:tc>
          <w:p>
            <w:r>
              <w:t xml:space="preserve">Spring break</w:t>
            </w:r>
          </w:p>
        </w:tc>
        <w:tc>
          <w:p>
            <w:r>
              <w:t xml:space="preserve">Late Feb - early Apr by region</w:t>
            </w:r>
          </w:p>
        </w:tc>
        <w:tc>
          <w:p>
            <w:r>
              <w:t xml:space="preserve">1.5-2.0x</w:t>
            </w:r>
          </w:p>
        </w:tc>
        <w:tc>
          <w:p>
            <w:r>
              <w:t xml:space="preserve">T-7 inventory build, additional service tech on call</w:t>
            </w:r>
          </w:p>
        </w:tc>
      </w:tr>
      <w:tr>
        <w:tc>
          <w:p>
            <w:r>
              <w:t xml:space="preserve">Summer school-out</w:t>
            </w:r>
          </w:p>
        </w:tc>
        <w:tc>
          <w:p>
            <w:r>
              <w:t xml:space="preserve">Memorial Day - mid Aug</w:t>
            </w:r>
          </w:p>
        </w:tc>
        <w:tc>
          <w:p>
            <w:r>
              <w:t xml:space="preserve">1.3-1.8x daily; 2.0x rainy days</w:t>
            </w:r>
          </w:p>
        </w:tc>
        <w:tc>
          <w:p>
            <w:r>
              <w:t xml:space="preserve">Sustained inventory build; rainy-day surge plan</w:t>
            </w:r>
          </w:p>
        </w:tc>
      </w:tr>
      <w:tr>
        <w:tc>
          <w:p>
            <w:r>
              <w:t xml:space="preserve">Holiday breaks</w:t>
            </w:r>
          </w:p>
        </w:tc>
        <w:tc>
          <w:p>
            <w:r>
              <w:t xml:space="preserve">Thanksgiving, Christmas - New Year</w:t>
            </w:r>
          </w:p>
        </w:tc>
        <w:tc>
          <w:p>
            <w:r>
              <w:t xml:space="preserve">1.5-2.0x</w:t>
            </w:r>
          </w:p>
        </w:tc>
        <w:tc>
          <w:p>
            <w:r>
              <w:t xml:space="preserve">T-7 inventory; staffing surge</w:t>
            </w:r>
          </w:p>
        </w:tc>
      </w:tr>
      <w:tr>
        <w:tc>
          <w:p>
            <w:r>
              <w:t xml:space="preserve">Bad-weather drives</w:t>
            </w:r>
          </w:p>
        </w:tc>
        <w:tc>
          <w:p>
            <w:r>
              <w:t xml:space="preserve">Heavy rain / snow days year-round</w:t>
            </w:r>
          </w:p>
        </w:tc>
        <w:tc>
          <w:p>
            <w:r>
              <w:t xml:space="preserve">1.4-1.7x</w:t>
            </w:r>
          </w:p>
        </w:tc>
        <w:tc>
          <w:p>
            <w:r>
              <w:t xml:space="preserve">Telemetry-triggered mid-day top-off</w:t>
            </w:r>
          </w:p>
        </w:tc>
      </w:tr>
      <w:tr>
        <w:tc>
          <w:p>
            <w:r>
              <w:t xml:space="preserve">Birthday-party Saturdays</w:t>
            </w:r>
          </w:p>
        </w:tc>
        <w:tc>
          <w:p>
            <w:r>
              <w:t xml:space="preserve">Saturday 11 AM - 4 PM year-round</w:t>
            </w:r>
          </w:p>
        </w:tc>
        <w:tc>
          <w:p>
            <w:r>
              <w:t xml:space="preserve">1.3-1.5x</w:t>
            </w:r>
          </w:p>
        </w:tc>
        <w:tc>
          <w:p>
            <w:r>
              <w:t xml:space="preserve">Saturday-morning restock; party-room beverage build</w:t>
            </w:r>
          </w:p>
        </w:tc>
      </w:tr>
      <w:tr>
        <w:tc>
          <w:p>
            <w:r>
              <w:t xml:space="preserve">Tournament + league nights</w:t>
            </w:r>
          </w:p>
        </w:tc>
        <w:tc>
          <w:p>
            <w:r>
              <w:t xml:space="preserve">Weekly per league schedule</w:t>
            </w:r>
          </w:p>
        </w:tc>
        <w:tc>
          <w:p>
            <w:r>
              <w:t xml:space="preserve">1.2-1.4x</w:t>
            </w:r>
          </w:p>
        </w:tc>
        <w:tc>
          <w:p>
            <w:r>
              <w:t xml:space="preserve">Pre-event top-off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arcade-card system integration capability (Embed, Sacoa, CenterEdge, Intercard, or comparable) with documentation of prior FEC placements.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PCI-DSS 4.0 cashless acceptance + arcade-card passthrough; AOC + SAQ-B-IP on file; no PAN storage at the machine.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NSF/ANSI 7 + 25 certifications on refrigerated equipment, FDA Food Code 3-501.16 cold-chain compliance, and FALCPA + FASTER Act allergen labeling on every SKU.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98% uptime SLA with day-part-aware restock cadence (Saturday-morning restock for party-day inventory).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a kid-safe SKU sub-list (no high-caffeine SKUs visible from kid-zone redemption counters; allergen-tagged signage in family-area placements).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$2M general liability, $1M umbrella, food product liability ≥ $1M, additional-insured endorsement to venue.</w:t>
      </w:r>
    </w:p>
    <w:p>
      <w:pPr>
        <w:pStyle w:val="Heading1"/>
        <w:spacing w:after="150" w:before="300"/>
      </w:pPr>
      <w:r>
        <w:t xml:space="preserve">6. Service SLA + cadence</w:t>
      </w:r>
    </w:p>
    <w:p>
      <w:pPr>
        <w:spacing w:after="120"/>
      </w:pPr>
      <w:r>
        <w:rPr>
          <w:b/>
          <w:bCs/>
          <w:color w:val="111827"/>
        </w:rPr>
        <w:t xml:space="preserve">Tier-1 (revenue-critical): </w:t>
      </w:r>
      <w:r>
        <w:t xml:space="preserve">≤ 4 hour onsite during operating hours; ≤ 12 hour overnight. Examples: machine offline at peak, payment failure, cold-chain excursion.</w:t>
      </w:r>
    </w:p>
    <w:p>
      <w:pPr>
        <w:spacing w:after="120"/>
      </w:pPr>
      <w:r>
        <w:rPr>
          <w:b/>
          <w:bCs/>
          <w:color w:val="111827"/>
        </w:rPr>
        <w:t xml:space="preserve">Tier-2 (stockout): </w:t>
      </w:r>
      <w:r>
        <w:t xml:space="preserve">≤ 24 hour onsite; restock during next operating-hour gap or overnight window.</w:t>
      </w:r>
    </w:p>
    <w:p>
      <w:pPr>
        <w:spacing w:after="120"/>
      </w:pPr>
      <w:r>
        <w:rPr>
          <w:b/>
          <w:bCs/>
          <w:color w:val="111827"/>
        </w:rPr>
        <w:t xml:space="preserve">Tier-3 (cosmetic, signage): </w:t>
      </w:r>
      <w:r>
        <w:t xml:space="preserve">≤ 72 hour; scheduled with next planned restock.</w:t>
      </w:r>
    </w:p>
    <w:p>
      <w:pPr>
        <w:spacing w:after="120"/>
      </w:pPr>
      <w:r>
        <w:rPr>
          <w:b/>
          <w:bCs/>
          <w:color w:val="111827"/>
        </w:rPr>
        <w:t xml:space="preserve">Service-window operations: </w:t>
      </w:r>
      <w:r>
        <w:t xml:space="preserve">Operator service crew operates during venue-down (typically late evening or early morning); coordinate with venue security + management.</w:t>
      </w:r>
    </w:p>
    <w:p>
      <w:pPr>
        <w:spacing w:after="120"/>
      </w:pPr>
      <w:r>
        <w:rPr>
          <w:b/>
          <w:bCs/>
          <w:color w:val="111827"/>
        </w:rPr>
        <w:t xml:space="preserve">Refund SLA: </w:t>
      </w:r>
      <w:r>
        <w:t xml:space="preserve">Cashless auto-refund within 24 hours; arcade-card refund within 4 hours via in-app or kiosk; cash refund via on-site host.</w:t>
      </w:r>
    </w:p>
    <w:p>
      <w:pPr>
        <w:pStyle w:val="Heading1"/>
        <w:spacing w:after="150" w:before="300"/>
      </w:pPr>
      <w:r>
        <w:t xml:space="preserve">7. Reporting + quarterly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Daily during surge windows: uptime, transactions, cold-chain status, service tickets.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Weekly: per-machine revenue + basket; per-SKU velocity by day-part; refund volume + reason codes.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Monthly: full uptime, revenue, commission, planogram velocity, surge-day vs baseline-day performance.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day-part planogram refresh proposal + redemption-counter sight-line audit.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Annual: contract review; PCI + insurance + food safety recertification; arcade-card integration health-check.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or food-safety advice. Confirm operator capabilities through reference checks and written attestation. Local building, fire, food, and amusement-device codes may impose additional requirements above the federal floor.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Arcade + FEC Vending Framework</dc:title>
  <dc:creator>LetUsVending</dc:creator>
  <dc:description>Day-part planogram, arcade-card integration, redemption co-placement, surge calendar</dc:description>
  <cp:lastModifiedBy>Un-named</cp:lastModifiedBy>
  <cp:revision>1</cp:revision>
  <dcterms:created xsi:type="dcterms:W3CDTF">2026-05-17T13:18:11.644Z</dcterms:created>
  <dcterms:modified xsi:type="dcterms:W3CDTF">2026-05-17T13:18:11.645Z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