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Inventory Tracking Verification Checklist</w:t>
      </w:r>
    </w:p>
    <w:p>
      <w:pPr>
        <w:spacing w:after="200"/>
      </w:pPr>
      <w:r>
        <w:rPr>
          <w:i/>
          <w:iCs/>
          <w:color w:val="6B7280"/>
        </w:rPr>
        <w:t xml:space="preserve">Telemetry coverage + dashboard read-access + SLA + audit rights + reconciliation</w:t>
      </w:r>
    </w:p>
    <w:p>
      <w:pPr>
        <w:spacing w:after="300"/>
      </w:pPr>
      <w:r>
        <w:t xml:space="preserve">Inventory tracking is the operator-side capability that drives stockout reduction (typical 25-45% reduction with telemetry vs paper-route), planogram velocity tuning, and dispute-free commission reconciliation. This checklist gives the facility manager + procurement officer a verifiable inventory baseline mapped to platforms used in the industry (Cantaloupe Seed, Nayax MoMa, 365 Retail Markets ADM, AWM Smart Shelf, Parlevel, VendSoft).</w:t>
      </w:r>
    </w:p>
    <w:p>
      <w:pPr>
        <w:pStyle w:val="Heading1"/>
        <w:spacing w:after="150" w:before="300"/>
      </w:pPr>
      <w:r>
        <w:t xml:space="preserve">1. Telemetry-driven inventory baseline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 captured at machine-level cadence ≤ 15 min.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Par-stock targets defined per SKU per machine; refresh quarterly based on rolling 90-day velocity.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Pre-kit picking at warehouse driven by telemetry forecast (not paper restock card).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 incidents logged per machine per SKU; rolling 30-day trend visible.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Expired product flagged via planogram-date logic where SKU has &lt; 30-day shelf life (fresh food).</w:t>
      </w:r>
    </w:p>
    <w:p>
      <w:pPr>
        <w:pStyle w:val="Heading1"/>
        <w:spacing w:after="150" w:before="300"/>
      </w:pPr>
      <w:r>
        <w:t xml:space="preserve">2. Dashboard read-access (facility-side)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Facility manager + procurement + (where applicable) SFA / SFA business office have named-user access.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Dashboard surfaces: per-machine inventory level, par-stock vs current, last-restock timestamp, stockout history.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velocity, refund, and waste reports exportable to CSV / XLSX.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Discrepancy alerts: telemetry-counted vends vs cash + cashless transactions reconcile to ≤ 1% delta.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SSO / SAML federation at enterprise placements; named-user audit trail.</w:t>
      </w:r>
    </w:p>
    <w:p>
      <w:pPr>
        <w:pStyle w:val="Heading1"/>
        <w:spacing w:after="150" w:before="300"/>
      </w:pPr>
      <w:r>
        <w:t xml:space="preserve">3. Commission + revenue reconciliation</w:t>
      </w:r>
    </w:p>
    <w:p>
      <w:pPr>
        <w:spacing w:after="200"/>
      </w:pPr>
      <w:r>
        <w:t xml:space="preserve">Tie commission to telemetry-counted vends, not operator-side cash counts. This eliminates the most common dispute vector at QBR.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calculation references telemetry vend count + gross sales by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 statement: per-machine, per-SKU vends + gross + commission detail.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Discrepancy threshold ≤ 1% between telemetry vends and reported gross; &gt; 1% triggers root-cause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+ void volume disclosed; refund rate &gt; 2% triggers planogram + hardware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reconciled commission payment with audit-grade detail.</w:t>
      </w:r>
    </w:p>
    <w:p>
      <w:pPr>
        <w:pStyle w:val="Heading1"/>
        <w:spacing w:after="150" w:before="300"/>
      </w:pPr>
      <w:r>
        <w:t xml:space="preserve">4. SLA — restock + stockout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SLA</w:t>
            </w:r>
          </w:p>
        </w:tc>
      </w:tr>
      <w:tr>
        <w:tc>
          <w:p>
            <w:r>
              <w:t xml:space="preserve">Per-SKU stockout (single facing)</w:t>
            </w:r>
          </w:p>
        </w:tc>
        <w:tc>
          <w:p>
            <w:r>
              <w:t xml:space="preserve">Next scheduled visit; ≤ 5 business days</w:t>
            </w:r>
          </w:p>
        </w:tc>
      </w:tr>
      <w:tr>
        <w:tc>
          <w:p>
            <w:r>
              <w:t xml:space="preserve">Multi-SKU stockout (≥ 3 facings)</w:t>
            </w:r>
          </w:p>
        </w:tc>
        <w:tc>
          <w:p>
            <w:r>
              <w:t xml:space="preserve">Within 48 business hours</w:t>
            </w:r>
          </w:p>
        </w:tc>
      </w:tr>
      <w:tr>
        <w:tc>
          <w:p>
            <w:r>
              <w:t xml:space="preserve">Full-machine stockout</w:t>
            </w:r>
          </w:p>
        </w:tc>
        <w:tc>
          <w:p>
            <w:r>
              <w:t xml:space="preserve">Within 24 hours</w:t>
            </w:r>
          </w:p>
        </w:tc>
      </w:tr>
      <w:tr>
        <w:tc>
          <w:p>
            <w:r>
              <w:t xml:space="preserve">Refrigerated stockout / temperature excursion</w:t>
            </w:r>
          </w:p>
        </w:tc>
        <w:tc>
          <w:p>
            <w:r>
              <w:t xml:space="preserve">Within 4 hours (cold chain)</w:t>
            </w:r>
          </w:p>
        </w:tc>
      </w:tr>
      <w:tr>
        <w:tc>
          <w:p>
            <w:r>
              <w:t xml:space="preserve">Pricing / planogram change request</w:t>
            </w:r>
          </w:p>
        </w:tc>
        <w:tc>
          <w:p>
            <w:r>
              <w:t xml:space="preserve">5-7 business days for full refresh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Audit rights + documentation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right written into MSA with 10-business-day notice.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per-machine, per-SKU vend log on request; 24 months minimum retention.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 + cashless transaction log retained 24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+ chargeback log retained 18 months (Visa Dispute Monitoring Program window).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independent revenue audit available at operator expense above defined gross threshold.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/ nutrition compliance evidenced via SKU list refreshed each semester at K-12 placements.</w:t>
      </w:r>
    </w:p>
    <w:p>
      <w:pPr>
        <w:pStyle w:val="Heading1"/>
        <w:spacing w:after="150" w:before="300"/>
      </w:pPr>
      <w:r>
        <w:t xml:space="preserve">6. Quarterly Business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Inventory level trend per machine over the quarter.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 report; SKUs at &lt; 50% of target velocity flagged for substitution.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 incidents + resolution time vs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Waste / shrink report (expired SKU + theft + service-loss).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 recommendations for the next quarter.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Action items + named owners + due dates; carried to next QBR.</w:t>
      </w:r>
    </w:p>
    <w:p>
      <w:pPr>
        <w:pStyle w:val="Heading1"/>
        <w:spacing w:after="150" w:before="300"/>
      </w:pPr>
      <w:r>
        <w:t xml:space="preserve">7. Data integrity + integration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SKU master synchronized between operator system + planogram + dashboard + (where applicable) nutrition labeling.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Barcode / UPC capture verified at pre-kit warehouse + restock.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Telemetry-to-ERP integration documented where facility runs corporate procurement (SAP, Oracle, Workday, NetSuite).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Where micro-market + vending hybrid: unified inventory view across SKUs at the placement.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Sub-processor list maintained where data flows to analytics / loyalty platforms.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or audit advice. Verify reconciliation methodology with finance + procurement; coordinate audit timing with operator. LetUsVending is equipped to coordinate operators with telemetry-verified inventory, dashboard read-access, and audit-grade commission reconciliation.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Inventory Tracking Verification Checklist</dc:title>
  <dc:creator>LetUsVending</dc:creator>
  <dc:description>Telemetry coverage + dashboard read-access + SLA + audit rights + reconciliation</dc:description>
  <cp:lastModifiedBy>Un-named</cp:lastModifiedBy>
  <cp:revision>1</cp:revision>
  <dcterms:created xsi:type="dcterms:W3CDTF">2026-05-17T13:18:12.174Z</dcterms:created>
  <dcterms:modified xsi:type="dcterms:W3CDTF">2026-05-17T13:18:12.175Z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