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School Vending Security + Anti-Vandalism Checklist</w:t>
      </w:r>
    </w:p>
    <w:p>
      <w:pPr>
        <w:spacing w:after="200"/>
      </w:pPr>
      <w:r>
        <w:rPr>
          <w:i/>
          <w:iCs/>
          <w:color w:val="6B7280"/>
        </w:rPr>
        <w:t xml:space="preserve">Hardware hardening + placement + programming + telemetry SLA + incident response</w:t>
      </w:r>
    </w:p>
    <w:p>
      <w:pPr>
        <w:spacing w:after="300"/>
      </w:pPr>
      <w:r>
        <w:t xml:space="preserve">K-12 and higher-ed placements face theft, vandalism, tampering, and tip-over risk distinct from office or industrial sites. This checklist gives the SFA director, school resource officer, and facilities team a defensible baseline — hardware, placement, programming, telemetry, and incident response. Map each item to the operator MSA so accountability is contractual, not informal.</w:t>
      </w:r>
    </w:p>
    <w:p>
      <w:pPr>
        <w:pStyle w:val="Heading1"/>
        <w:spacing w:after="150" w:before="300"/>
      </w:pPr>
      <w:r>
        <w:t xml:space="preserve">1. Hardware hardening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steel gauge ≥ 18 ga (preferably 16 ga) for front + sides; pry-resistant edges.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T-handle lock with rotating disc-detainer (Medeco, Abloy Protec2, or equivalent) — keyed unique to district.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Anti-tip-over kit (NFPA-aligned floor anchor or wall tether) installed on every machine — Consumer Product Safety Commission has documented fatal tip-over incidents in school vending.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Polycarbonate (not glass) selection window where impact risk elevated; minimum 1/4 in thickness.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Bill validator + coin mech with anti-stringing + anti-spoon mechanisms (Coinco, MEI / CashFlow models).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Cashbox / stacker on separate lock from cabinet door (dual-lock cash zone).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External LED illumination on machine face — passive deterrent, also serves placement-visibility audit.</w:t>
      </w:r>
    </w:p>
    <w:p>
      <w:pPr>
        <w:pStyle w:val="Heading1"/>
        <w:spacing w:after="150" w:before="300"/>
      </w:pPr>
      <w:r>
        <w:t xml:space="preserve">2. Placement security audit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within CCTV camera field-of-view; camera resolution ≥ 1080p, retention ≥ 30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Placement avoids dead-end alcoves and unmonitored exterior alcoves accessible after hours.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Placement on accessible route but not directly adjacent to exterior egress door (reduces grab-and-run exit).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Adjacent walls + floor able to bear machine weight (typical 600-900 lbs loaded) + tip-over anchor load.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Egress / fire code clearances maintained (NFPA 101 / IBC 1004) — machine does not narrow corridor below code minimum.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After-hours access policy: building lock-down schedule covers machine placements; key control logged.</w:t>
      </w:r>
    </w:p>
    <w:p>
      <w:pPr>
        <w:pStyle w:val="Heading1"/>
        <w:spacing w:after="150" w:before="300"/>
      </w:pPr>
      <w:r>
        <w:t xml:space="preserve">3. Programming + payment hardening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Bill validator firmware updated to current revision; counterfeit detection enabled (UV + magnetic + IR).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Card reader on PCI PTS v6+ approved devices list; PCI DSS v4.0.1 AOC dated within 12 months.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P2PE (PCI P2PE v3.1) or strong tokenization enabled — no clear-text PAN on operator host.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Cashless-only programming option for high-risk placements (eliminates cash incentive).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 + service mode access requires operator credential (PIN + telemetry-logged).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Maximum coin/bill payout per refund event capped — limits payout fraud exposure.</w:t>
      </w:r>
    </w:p>
    <w:p>
      <w:pPr>
        <w:pStyle w:val="Heading1"/>
        <w:spacing w:after="150" w:before="300"/>
      </w:pPr>
      <w:r>
        <w:t xml:space="preserve">4. Telemetry + alerting SLA</w:t>
      </w:r>
    </w:p>
    <w:p>
      <w:pPr>
        <w:spacing w:after="200"/>
      </w:pPr>
      <w:r>
        <w:t xml:space="preserve">Telemetry is the primary detection layer for tampering, door-open events, payment failure, and unusual velocity. Tie each alert to a contractual SLA in the operator MSA.</w:t>
      </w:r>
    </w:p>
    <w:p>
      <w:pPr>
        <w:spacing w:after="120"/>
      </w:pPr>
      <w:r>
        <w:rPr>
          <w:b/>
          <w:bCs/>
          <w:color w:val="111827"/>
        </w:rPr>
        <w:t xml:space="preserve">Heartbeat: </w:t>
      </w:r>
      <w:r>
        <w:t xml:space="preserve">Cellular modem heartbeat ≤ 15 minutes; offline &gt; 30 minutes triggers operator alert + 24-hour resolution SLA.</w:t>
      </w:r>
    </w:p>
    <w:p>
      <w:pPr>
        <w:spacing w:after="120"/>
      </w:pPr>
      <w:r>
        <w:rPr>
          <w:b/>
          <w:bCs/>
          <w:color w:val="111827"/>
        </w:rPr>
        <w:t xml:space="preserve">Door-open alert: </w:t>
      </w:r>
      <w:r>
        <w:t xml:space="preserve">Any unscheduled door-open event triggers SMS + email to operator + district facility manager within 5 minutes.</w:t>
      </w:r>
    </w:p>
    <w:p>
      <w:pPr>
        <w:spacing w:after="120"/>
      </w:pPr>
      <w:r>
        <w:rPr>
          <w:b/>
          <w:bCs/>
          <w:color w:val="111827"/>
        </w:rPr>
        <w:t xml:space="preserve">Tamper alert: </w:t>
      </w:r>
      <w:r>
        <w:t xml:space="preserve">Tilt sensor + impact sensor (where supported) triggers tamper alert; review within 1 hour.</w:t>
      </w:r>
    </w:p>
    <w:p>
      <w:pPr>
        <w:spacing w:after="120"/>
      </w:pPr>
      <w:r>
        <w:rPr>
          <w:b/>
          <w:bCs/>
          <w:color w:val="111827"/>
        </w:rPr>
        <w:t xml:space="preserve">Payment failure rate: </w:t>
      </w:r>
      <w:r>
        <w:t xml:space="preserve">Failure rate &gt; 3% on rolling 24-hour window triggers operator investigation within 4 hours.</w:t>
      </w:r>
    </w:p>
    <w:p>
      <w:pPr>
        <w:spacing w:after="120"/>
      </w:pPr>
      <w:r>
        <w:rPr>
          <w:b/>
          <w:bCs/>
          <w:color w:val="111827"/>
        </w:rPr>
        <w:t xml:space="preserve">Velocity anomaly: </w:t>
      </w:r>
      <w:r>
        <w:t xml:space="preserve">Out-of-pattern SKU velocity (refund spike, single-SKU drain) flagged within 24 hours.</w:t>
      </w:r>
    </w:p>
    <w:p>
      <w:pPr>
        <w:spacing w:after="120"/>
      </w:pPr>
      <w:r>
        <w:rPr>
          <w:b/>
          <w:bCs/>
          <w:color w:val="111827"/>
        </w:rPr>
        <w:t xml:space="preserve">Dashboard read-access: </w:t>
      </w:r>
      <w:r>
        <w:t xml:space="preserve">SFA director + school resource officer have telemetry read-access (Cantaloupe Seed, Nayax MoMa, 365 Retail Markets ADM, or equivalent).</w:t>
      </w:r>
    </w:p>
    <w:p>
      <w:pPr>
        <w:pStyle w:val="Heading1"/>
        <w:spacing w:after="150" w:before="300"/>
      </w:pPr>
      <w:r>
        <w:t xml:space="preserve">5. Incident response procedure</w:t>
      </w:r>
    </w:p>
    <w:p>
      <w:pPr>
        <w:spacing w:after="60" w:before="120"/>
      </w:pPr>
      <w:r>
        <w:rPr>
          <w:b/>
          <w:bCs/>
        </w:rPr>
        <w:t xml:space="preserve">1. Detection</w:t>
      </w:r>
    </w:p>
    <w:p>
      <w:pPr>
        <w:spacing w:after="120"/>
      </w:pPr>
      <w:r>
        <w:t xml:space="preserve">Telemetry alert OR student / staff report OR scheduled walk-through finding. Time-stamp the report immediately.</w:t>
      </w:r>
    </w:p>
    <w:p>
      <w:pPr>
        <w:spacing w:after="60" w:before="120"/>
      </w:pPr>
      <w:r>
        <w:rPr>
          <w:b/>
          <w:bCs/>
        </w:rPr>
        <w:t xml:space="preserve">2. Containment</w:t>
      </w:r>
    </w:p>
    <w:p>
      <w:pPr>
        <w:spacing w:after="120"/>
      </w:pPr>
      <w:r>
        <w:t xml:space="preserve">Operator dispatches within service SLA. Take machine offline (cashless disabled, vend disabled) until inspected. CCTV footage from incident window preserved by district.</w:t>
      </w:r>
    </w:p>
    <w:p>
      <w:pPr>
        <w:spacing w:after="60" w:before="120"/>
      </w:pPr>
      <w:r>
        <w:rPr>
          <w:b/>
          <w:bCs/>
        </w:rPr>
        <w:t xml:space="preserve">3. Investigation</w:t>
      </w:r>
    </w:p>
    <w:p>
      <w:pPr>
        <w:spacing w:after="120"/>
      </w:pPr>
      <w:r>
        <w:t xml:space="preserve">Operator + facilities + (where appropriate) SRO conduct walk-through within 24 hours. Photo + measurement log; identify hardware, payment, or placement root cause.</w:t>
      </w:r>
    </w:p>
    <w:p>
      <w:pPr>
        <w:spacing w:after="60" w:before="120"/>
      </w:pPr>
      <w:r>
        <w:rPr>
          <w:b/>
          <w:bCs/>
        </w:rPr>
        <w:t xml:space="preserve">4. Remediation</w:t>
      </w:r>
    </w:p>
    <w:p>
      <w:pPr>
        <w:spacing w:after="120"/>
      </w:pPr>
      <w:r>
        <w:t xml:space="preserve">Hardware repair or replacement within 5 business days; programming + telemetry adjustments; placement change if root cause is placement.</w:t>
      </w:r>
    </w:p>
    <w:p>
      <w:pPr>
        <w:spacing w:after="60" w:before="120"/>
      </w:pPr>
      <w:r>
        <w:rPr>
          <w:b/>
          <w:bCs/>
        </w:rPr>
        <w:t xml:space="preserve">5. Reporting</w:t>
      </w:r>
    </w:p>
    <w:p>
      <w:pPr>
        <w:spacing w:after="120"/>
      </w:pPr>
      <w:r>
        <w:t xml:space="preserve">Incident report to SFA director + facilities + (where applicable) law enforcement. Quarterly incident-trend report at QBR.</w:t>
      </w:r>
    </w:p>
    <w:p>
      <w:pPr>
        <w:pStyle w:val="Heading1"/>
        <w:spacing w:after="150" w:before="300"/>
      </w:pPr>
      <w:r>
        <w:t xml:space="preserve">6. Quarterly + annual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incident-trend report from operator (per-machine, per-incident-type).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penetration walk-through with SRO + facilities + operator service tech.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telemetry SLA adherence report (uptime, response time, resolution time).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 cabinet key audit — keys reissued if compromise suspected or staff turnover.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+ bonding: operator carries $2M GL minimum; theft / vandalism coverage rider verified.</w:t>
      </w:r>
    </w:p>
    <w:p>
      <w:pPr>
        <w:spacing w:before="400"/>
      </w:pPr>
      <w:r>
        <w:rPr>
          <w:i/>
          <w:iCs/>
          <w:color w:val="6B7280"/>
        </w:rPr>
        <w:t xml:space="preserve">Informational only — not legal or security advice. Coordinate placement decisions with district facilities, school resource officer, and risk management. LetUsVending is equipped to coordinate operators with hardened cabinets, telemetry SLAs, and per-quarter incident reporting for K-12 and higher-ed placements.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Vending Security + Anti-Vandalism Checklist</dc:title>
  <dc:creator>LetUsVending</dc:creator>
  <dc:description>Hardware hardening + placement + programming + telemetry SLA + incident response</dc:description>
  <cp:lastModifiedBy>Un-named</cp:lastModifiedBy>
  <cp:revision>1</cp:revision>
  <dcterms:created xsi:type="dcterms:W3CDTF">2026-05-17T13:18:12.434Z</dcterms:created>
  <dcterms:modified xsi:type="dcterms:W3CDTF">2026-05-17T13:18:12.434Z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