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Parks-System Vending RFP Template</w:t>
      </w:r>
    </w:p>
    <w:p>
      <w:pPr>
        <w:spacing w:after="200"/>
      </w:pPr>
      <w:r>
        <w:rPr>
          <w:i/>
          <w:iCs/>
          <w:color w:val="6B7280"/>
        </w:rPr>
        <w:t xml:space="preserve">Permanent + event provisions, outdoor-rated equipment specs, and operator capability matrix</w:t>
      </w:r>
    </w:p>
    <w:p>
      <w:pPr>
        <w:spacing w:after="300"/>
      </w:pPr>
      <w:r>
        <w:t xml:space="preserve">Use this RFP template to solicit vending bids for a parks system — combining permanent year-round placements (visitor centers, busy trailheads, plaza pavilions) with event provisions for festivals, concerts, races, and seasonal activations. The template specifies outdoor-rated equipment, weather contingency, permit posture, and the SLA appropriate to public-space placements.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Parks system scope: </w:t>
      </w:r>
      <w:r>
        <w:t xml:space="preserve">(specify — e.g., 30-park municipal system, single regional park district, state-park concession). Capability framing — describe scale, not specific park names.</w:t>
      </w:r>
    </w:p>
    <w:p>
      <w:pPr>
        <w:spacing w:after="120"/>
      </w:pPr>
      <w:r>
        <w:rPr>
          <w:b/>
          <w:bCs/>
          <w:color w:val="111827"/>
        </w:rPr>
        <w:t xml:space="preserve">Placements in scope: </w:t>
      </w:r>
      <w:r>
        <w:t xml:space="preserve">Permanent: visitor centers, trailheads, plaza pavilions, recreation buildings. Event: festivals, concerts, races, seasonal activations. Operator scopes each separately.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3-5 year initial with annual seasonal-mix review.</w:t>
      </w:r>
    </w:p>
    <w:p>
      <w:pPr>
        <w:spacing w:after="120"/>
      </w:pPr>
      <w:r>
        <w:rPr>
          <w:b/>
          <w:bCs/>
          <w:color w:val="111827"/>
        </w:rPr>
        <w:t xml:space="preserve">Compliance authority: </w:t>
      </w:r>
      <w:r>
        <w:t xml:space="preserve">Parks department, local health department, FDA Food Code 2022 where TCS food is sold, ADA Section 308 / 305, local AHJ for temporary structures.</w:t>
      </w:r>
    </w:p>
    <w:p>
      <w:pPr>
        <w:pStyle w:val="Heading1"/>
        <w:spacing w:after="150" w:before="300"/>
      </w:pPr>
      <w:r>
        <w:t xml:space="preserve">2. Permanent placement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Placement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SKU breadth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Equipment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Cadence</w:t>
            </w:r>
          </w:p>
        </w:tc>
      </w:tr>
      <w:tr>
        <w:tc>
          <w:p>
            <w:r>
              <w:t xml:space="preserve">Visitor center (indoor)</w:t>
            </w:r>
          </w:p>
        </w:tc>
        <w:tc>
          <w:p>
            <w:r>
              <w:t xml:space="preserve">30-45</w:t>
            </w:r>
          </w:p>
        </w:tc>
        <w:tc>
          <w:p>
            <w:r>
              <w:t xml:space="preserve">Standard glass-front combo; UL 751</w:t>
            </w:r>
          </w:p>
        </w:tc>
        <w:tc>
          <w:p>
            <w:r>
              <w:t xml:space="preserve">2-3 visits/week</w:t>
            </w:r>
          </w:p>
        </w:tc>
      </w:tr>
      <w:tr>
        <w:tc>
          <w:p>
            <w:r>
              <w:t xml:space="preserve">Trailhead (outdoor, covered)</w:t>
            </w:r>
          </w:p>
        </w:tc>
        <w:tc>
          <w:p>
            <w:r>
              <w:t xml:space="preserve">20-30</w:t>
            </w:r>
          </w:p>
        </w:tc>
        <w:tc>
          <w:p>
            <w:r>
              <w:t xml:space="preserve">NEMA 3R outdoor-rated cabinet; UL 751 + outdoor-listed power supply</w:t>
            </w:r>
          </w:p>
        </w:tc>
        <w:tc>
          <w:p>
            <w:r>
              <w:t xml:space="preserve">Weekly + telemetry-driven</w:t>
            </w:r>
          </w:p>
        </w:tc>
      </w:tr>
      <w:tr>
        <w:tc>
          <w:p>
            <w:r>
              <w:t xml:space="preserve">Plaza pavilion (outdoor, exposed)</w:t>
            </w:r>
          </w:p>
        </w:tc>
        <w:tc>
          <w:p>
            <w:r>
              <w:t xml:space="preserve">25-35</w:t>
            </w:r>
          </w:p>
        </w:tc>
        <w:tc>
          <w:p>
            <w:r>
              <w:t xml:space="preserve">NEMA 4 weather-rated; tamper-resistant cabinet; UL 751</w:t>
            </w:r>
          </w:p>
        </w:tc>
        <w:tc>
          <w:p>
            <w:r>
              <w:t xml:space="preserve">Weekly + telemetry-driven</w:t>
            </w:r>
          </w:p>
        </w:tc>
      </w:tr>
      <w:tr>
        <w:tc>
          <w:p>
            <w:r>
              <w:t xml:space="preserve">Recreation building</w:t>
            </w:r>
          </w:p>
        </w:tc>
        <w:tc>
          <w:p>
            <w:r>
              <w:t xml:space="preserve">30-45</w:t>
            </w:r>
          </w:p>
        </w:tc>
        <w:tc>
          <w:p>
            <w:r>
              <w:t xml:space="preserve">Standard glass-front combo; ADA Section 308</w:t>
            </w:r>
          </w:p>
        </w:tc>
        <w:tc>
          <w:p>
            <w:r>
              <w:t xml:space="preserve">2-3 visits/week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Event provision framework</w:t>
      </w:r>
    </w:p>
    <w:p>
      <w:pPr>
        <w:spacing w:after="200"/>
      </w:pPr>
      <w:r>
        <w:t xml:space="preserve">Event placements are scoped on top of the permanent network. Operator commits to mobilization timelines per Section 4.</w:t>
      </w:r>
    </w:p>
    <w:p>
      <w:pPr>
        <w:spacing w:after="60" w:before="120"/>
      </w:pPr>
      <w:r>
        <w:rPr>
          <w:b/>
          <w:bCs/>
        </w:rPr>
        <w:t xml:space="preserve">1. Event request lead time</w:t>
      </w:r>
    </w:p>
    <w:p>
      <w:pPr>
        <w:spacing w:after="120"/>
      </w:pPr>
      <w:r>
        <w:t xml:space="preserve">Parks department issues event request T-30 days; operator confirms scope + pricing within 5 business days.</w:t>
      </w:r>
    </w:p>
    <w:p>
      <w:pPr>
        <w:spacing w:after="60" w:before="120"/>
      </w:pPr>
      <w:r>
        <w:rPr>
          <w:b/>
          <w:bCs/>
        </w:rPr>
        <w:t xml:space="preserve">2. Mobilization</w:t>
      </w:r>
    </w:p>
    <w:p>
      <w:pPr>
        <w:spacing w:after="120"/>
      </w:pPr>
      <w:r>
        <w:t xml:space="preserve">Operator deploys event-specific machines T-2 days; pre-stocks per planogram; commissions telemetry + cashless payment.</w:t>
      </w:r>
    </w:p>
    <w:p>
      <w:pPr>
        <w:spacing w:after="60" w:before="120"/>
      </w:pPr>
      <w:r>
        <w:rPr>
          <w:b/>
          <w:bCs/>
        </w:rPr>
        <w:t xml:space="preserve">3. Operations</w:t>
      </w:r>
    </w:p>
    <w:p>
      <w:pPr>
        <w:spacing w:after="120"/>
      </w:pPr>
      <w:r>
        <w:t xml:space="preserve">Operator covers event hours with restock surge crew; uptime SLA per Section 6.</w:t>
      </w:r>
    </w:p>
    <w:p>
      <w:pPr>
        <w:spacing w:after="60" w:before="120"/>
      </w:pPr>
      <w:r>
        <w:rPr>
          <w:b/>
          <w:bCs/>
        </w:rPr>
        <w:t xml:space="preserve">4. De-mobilization</w:t>
      </w:r>
    </w:p>
    <w:p>
      <w:pPr>
        <w:spacing w:after="120"/>
      </w:pPr>
      <w:r>
        <w:t xml:space="preserve">Operator removes event-specific units T+1; final reconciliation within 5 business days.</w:t>
      </w:r>
    </w:p>
    <w:p>
      <w:pPr>
        <w:spacing w:after="60" w:before="120"/>
      </w:pPr>
      <w:r>
        <w:rPr>
          <w:b/>
          <w:bCs/>
        </w:rPr>
        <w:t xml:space="preserve">5. Event-specific permits + insurance</w:t>
      </w:r>
    </w:p>
    <w:p>
      <w:pPr>
        <w:spacing w:after="120"/>
      </w:pPr>
      <w:r>
        <w:t xml:space="preserve">Operator files temporary food-service permits (where TCS), tent permits (NFPA 1 Chapter 25 / IFC Chapter 38), and provides event-day COI naming parks system + event producer as additional insured.</w:t>
      </w:r>
    </w:p>
    <w:p>
      <w:pPr>
        <w:pStyle w:val="Heading1"/>
        <w:spacing w:after="150" w:before="300"/>
      </w:pPr>
      <w:r>
        <w:t xml:space="preserve">4. Outdoor-rated equipment specifications</w:t>
      </w:r>
    </w:p>
    <w:p>
      <w:pPr>
        <w:spacing w:after="120"/>
      </w:pPr>
      <w:r>
        <w:rPr>
          <w:b/>
          <w:bCs/>
          <w:color w:val="111827"/>
        </w:rPr>
        <w:t xml:space="preserve">Enclosure rating: </w:t>
      </w:r>
      <w:r>
        <w:t xml:space="preserve">NEMA 3R minimum for covered outdoor (rain only); NEMA 4 for uncovered or hose-down (dust + water-jet). Specify per placement.</w:t>
      </w:r>
    </w:p>
    <w:p>
      <w:pPr>
        <w:spacing w:after="120"/>
      </w:pPr>
      <w:r>
        <w:rPr>
          <w:b/>
          <w:bCs/>
          <w:color w:val="111827"/>
        </w:rPr>
        <w:t xml:space="preserve">Temperature operating range: </w:t>
      </w:r>
      <w:r>
        <w:t xml:space="preserve">Most refrigerated vending operates 35°F-100°F ambient. Below 32°F or above 105°F requires shade structure, supplemental cooling, or temporary relocation.</w:t>
      </w:r>
    </w:p>
    <w:p>
      <w:pPr>
        <w:spacing w:after="120"/>
      </w:pPr>
      <w:r>
        <w:rPr>
          <w:b/>
          <w:bCs/>
          <w:color w:val="111827"/>
        </w:rPr>
        <w:t xml:space="preserve">UV + weatherability: </w:t>
      </w:r>
      <w:r>
        <w:t xml:space="preserve">Cabinet finish + branding vinyl rated for outdoor UV (3M IJ180mC or Avery MPI 1105 with laminated overlay; 7-year outdoor durability).</w:t>
      </w:r>
    </w:p>
    <w:p>
      <w:pPr>
        <w:spacing w:after="120"/>
      </w:pPr>
      <w:r>
        <w:rPr>
          <w:b/>
          <w:bCs/>
          <w:color w:val="111827"/>
        </w:rPr>
        <w:t xml:space="preserve">Tamper + theft resistance: </w:t>
      </w:r>
      <w:r>
        <w:t xml:space="preserve">16-gauge steel cabinet; UL 437 high-security keyway; bolted to pad where placement permits.</w:t>
      </w:r>
    </w:p>
    <w:p>
      <w:pPr>
        <w:spacing w:after="120"/>
      </w:pPr>
      <w:r>
        <w:rPr>
          <w:b/>
          <w:bCs/>
          <w:color w:val="111827"/>
        </w:rPr>
        <w:t xml:space="preserve">Power + data: </w:t>
      </w:r>
      <w:r>
        <w:t xml:space="preserve">Hardwired or solar-augmented per placement; cellular telemetry (sub-15-min heartbeat) since most park placements lack WAN.</w:t>
      </w:r>
    </w:p>
    <w:p>
      <w:pPr>
        <w:spacing w:after="120"/>
      </w:pPr>
      <w:r>
        <w:rPr>
          <w:b/>
          <w:bCs/>
          <w:color w:val="111827"/>
        </w:rPr>
        <w:t xml:space="preserve">Accessibility: </w:t>
      </w:r>
      <w:r>
        <w:t xml:space="preserve">ADA Section 308 reach range maintained even at outdoor placements; pad-grade Section 305 clear floor space; ADA-compliant approach path per 2010 ADA Standards 402.</w:t>
      </w:r>
    </w:p>
    <w:p>
      <w:pPr>
        <w:pStyle w:val="Heading1"/>
        <w:spacing w:after="150" w:before="300"/>
      </w:pPr>
      <w:r>
        <w:t xml:space="preserve">5. Weather + safety contingency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publishes severe-weather protocol: wind gusts &gt; 40 mph, lightning within 8 mi, or NWS severe-weather warning triggers shutdown + lockdown per facility safety policy.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Wildfire-zone placements: operator coordinates with parks fire-management for evacuation + equipment-removal protocol.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Freezing-zone placements: operator drains beverage supply lines (where applicable) and switches refrigerated units to standby per manufacturer cold-weather guidance.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Heat-zone placements: operator confirms equipment cooling capacity above 100°F; supplemental shade or temporary relocation triggered above 105°F.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Flood-zone placements: operator confirms pad elevation and detachable-anchor protocol where 100-year floodplain applies.</w:t>
      </w:r>
    </w:p>
    <w:p>
      <w:pPr>
        <w:pStyle w:val="Heading1"/>
        <w:spacing w:after="150" w:before="300"/>
      </w:pPr>
      <w:r>
        <w:t xml:space="preserve">6. SLA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Permanent SLA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Event SLA</w:t>
            </w:r>
          </w:p>
        </w:tc>
      </w:tr>
      <w:tr>
        <w:tc>
          <w:p>
            <w:r>
              <w:t xml:space="preserve">Uptime (operating hours)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98%</w:t>
            </w:r>
          </w:p>
        </w:tc>
      </w:tr>
      <w:tr>
        <w:tc>
          <w:p>
            <w:r>
              <w:t xml:space="preserve">Stockout SLA</w:t>
            </w:r>
          </w:p>
        </w:tc>
        <w:tc>
          <w:p>
            <w:r>
              <w:t xml:space="preserve">48 hours per-SKU</w:t>
            </w:r>
          </w:p>
        </w:tc>
        <w:tc>
          <w:p>
            <w:r>
              <w:t xml:space="preserve">1 hour during event peak</w:t>
            </w:r>
          </w:p>
        </w:tc>
      </w:tr>
      <w:tr>
        <w:tc>
          <w:p>
            <w:r>
              <w:t xml:space="preserve">Cold-chain alert response</w:t>
            </w:r>
          </w:p>
        </w:tc>
        <w:tc>
          <w:p>
            <w:r>
              <w:t xml:space="preserve">4 hours on-site</w:t>
            </w:r>
          </w:p>
        </w:tc>
        <w:tc>
          <w:p>
            <w:r>
              <w:t xml:space="preserve">2 hours on-site</w:t>
            </w:r>
          </w:p>
        </w:tc>
      </w:tr>
      <w:tr>
        <w:tc>
          <w:p>
            <w:r>
              <w:t xml:space="preserve">Refund auto-credit</w:t>
            </w:r>
          </w:p>
        </w:tc>
        <w:tc>
          <w:p>
            <w:r>
              <w:t xml:space="preserve">24 hours (cashless)</w:t>
            </w:r>
          </w:p>
        </w:tc>
        <w:tc>
          <w:p>
            <w:r>
              <w:t xml:space="preserve">4 hours (cashless)</w:t>
            </w:r>
          </w:p>
        </w:tc>
      </w:tr>
      <w:tr>
        <w:tc>
          <w:p>
            <w:r>
              <w:t xml:space="preserve">Damage / vandalism repair</w:t>
            </w:r>
          </w:p>
        </w:tc>
        <w:tc>
          <w:p>
            <w:r>
              <w:t xml:space="preserve">7 business days</w:t>
            </w:r>
          </w:p>
        </w:tc>
        <w:tc>
          <w:p>
            <w:r>
              <w:t xml:space="preserve">T+1 of next event</w:t>
            </w:r>
          </w:p>
        </w:tc>
      </w:tr>
      <w:tr>
        <w:tc>
          <w:p>
            <w:r>
              <w:t xml:space="preserve">Reporting</w:t>
            </w:r>
          </w:p>
        </w:tc>
        <w:tc>
          <w:p>
            <w:r>
              <w:t xml:space="preserve">Monthly + quarterly</w:t>
            </w:r>
          </w:p>
        </w:tc>
        <w:tc>
          <w:p>
            <w:r>
              <w:t xml:space="preserve">Per-event flash within 24 hours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Operator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p>
            <w:r>
              <w:t xml:space="preserve">Outdoor-rated equipment portfolio (Section 4)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Permanent + event capability mix (Sections 2 + 3)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Telemetry + uptime track record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Weather + safety contingency (Section 5)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Restock cadence + SLA commitment (Section 6)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Permit + insurance posture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Pricing transparency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ADA / accessibility</w:t>
            </w:r>
          </w:p>
        </w:tc>
        <w:tc>
          <w:p>
            <w:r>
              <w:t xml:space="preserve">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Outdoor equipment spec sheets (NEMA, UL, temperature operating range).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Permanent + event planogram samples.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Weather + safety contingency runbook (Section 5).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+ per-event reports.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certificate, $2M GL minimum, listing parks system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parks / outdoor / event contacts (last 24 months) — capability framing.</w:t>
      </w:r>
    </w:p>
    <w:p>
      <w:pPr>
        <w:pStyle w:val="Heading1"/>
        <w:spacing w:after="150" w:before="300"/>
      </w:pPr>
      <w:r>
        <w:t xml:space="preserve">9.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30-45 days)</w:t>
      </w:r>
    </w:p>
    <w:p>
      <w:pPr>
        <w:spacing w:after="120"/>
      </w:pPr>
      <w:r>
        <w:rPr>
          <w:b/>
          <w:bCs/>
          <w:color w:val="111827"/>
        </w:rPr>
        <w:t xml:space="preserve">Mandatory site walk: </w:t>
      </w:r>
      <w:r>
        <w:t xml:space="preserve">Walk through 2-3 representative permanent placements + 1 event footprint; capability framing in scoring.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45-75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parks procurement and risk counsel before issue. Permit and insurance requirements vary by jurisdiction.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Parks-System Vending RFP Template</dc:title>
  <dc:creator>LetUsVending</dc:creator>
  <dc:description>Permanent + event provisions, outdoor-rated equipment specs, and operator capability matrix</dc:description>
  <cp:lastModifiedBy>Un-named</cp:lastModifiedBy>
  <cp:revision>1</cp:revision>
  <dcterms:created xsi:type="dcterms:W3CDTF">2026-05-17T13:18:13.093Z</dcterms:created>
  <dcterms:modified xsi:type="dcterms:W3CDTF">2026-05-17T13:18:13.095Z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