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Multi-School District Vending RFP Framework</w:t>
      </w:r>
    </w:p>
    <w:p>
      <w:pPr>
        <w:spacing w:after="200"/>
      </w:pPr>
      <w:r>
        <w:rPr>
          <w:i/>
          <w:iCs/>
          <w:color w:val="6B7280"/>
        </w:rPr>
        <w:t xml:space="preserve">Operator capability profile, evaluation criteria, and contract template aligned to Smart Snacks in School + USDA + state procurement rules</w:t>
      </w:r>
    </w:p>
    <w:p>
      <w:pPr>
        <w:spacing w:after="300"/>
      </w:pPr>
      <w:r>
        <w:t xml:space="preserve">K-12 district vending RFPs are governed by USDA Smart Snacks in School standards (7 CFR Part 210 + 220), state procurement rules (typically aligned to Uniform Guidance 2 CFR 200), local wellness policy requirements under the Healthy Hunger-Free Kids Act of 2010, and the district's school board procurement policy. This framework gives the district business manager + Director of Food Services a defensible operator capability profile, an evaluation rubric the procurement committee can score, and a contract template the school board attorney can adopt.</w:t>
      </w:r>
    </w:p>
    <w:p>
      <w:pPr>
        <w:pStyle w:val="Heading1"/>
        <w:spacing w:after="150" w:before="300"/>
      </w:pPr>
      <w:r>
        <w:t xml:space="preserve">1. Operator capability profile — minimum gating requirements</w:t>
      </w:r>
    </w:p>
    <w:p>
      <w:pPr>
        <w:spacing w:after="200"/>
      </w:pPr>
      <w:r>
        <w:t xml:space="preserve">All gating requirements are pass/fail. An operator missing any one of these is disqualified before the scoring evaluation begins.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Smart Snacks in School certification — operator attests every SKU sold during the school day meets USDA Smart Snacks calorie + sodium + sugar + fat standards (7 CFR 210.11)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Compliance with the district's Local Wellness Policy (required under HHFKA 2010)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telemetry — Cantaloupe, Nayax, 365 Retail Markets, AWM, or comparable; heartbeat ≤ 15 minutes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 payment with student-account integration where the district uses MealMagic, Nutrikids, MySchoolBucks, LINQ, or comparable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labeling per FALCPA on every SKU; allergen summary signage on the machine face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Background checks on all employees with school-access privileges (per state code; e.g., Texas Education Code §22.0834, California Education Code §45125)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Title II + Section 308 reach range compliance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— CGL $2M minimum aggregate, workers' comp, district + school board as additional insured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Three K-12 district references with named contacts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OFAC + W-9 + state debarment screening clean</w:t>
      </w:r>
    </w:p>
    <w:p>
      <w:pPr>
        <w:pStyle w:val="Heading1"/>
        <w:spacing w:after="150" w:before="300"/>
      </w:pPr>
      <w:r>
        <w:t xml:space="preserve">2. Evaluation rubric — scoring</w:t>
      </w:r>
    </w:p>
    <w:p>
      <w:pPr>
        <w:spacing w:after="200"/>
      </w:pPr>
      <w:r>
        <w:t xml:space="preserve">After gating, score each qualifying response on the rubric below. Weights are illustrative; adjust per district procurement policy. School board approves the rubric before RFP issuance.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Scoring detail</w:t>
            </w:r>
          </w:p>
        </w:tc>
      </w:tr>
      <w:tr>
        <w:tc>
          <w:p>
            <w:r>
              <w:t xml:space="preserve">Smart Snacks + wellness alignment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SKU list reviewed against USDA Smart Snacks calculator; planogram weighting verified</w:t>
            </w:r>
          </w:p>
        </w:tc>
      </w:tr>
      <w:tr>
        <w:tc>
          <w:p>
            <w:r>
              <w:t xml:space="preserve">Telemetry + reporting capability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Heartbeat + export + audit-right + uptime SLA</w:t>
            </w:r>
          </w:p>
        </w:tc>
      </w:tr>
      <w:tr>
        <w:tc>
          <w:p>
            <w:r>
              <w:t xml:space="preserve">Service-level agreement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Tier-1 &lt; 24 hr resolve; uptime ≥ 97%; refund mechanism</w:t>
            </w:r>
          </w:p>
        </w:tc>
      </w:tr>
      <w:tr>
        <w:tc>
          <w:p>
            <w:r>
              <w:t xml:space="preserve">Revenue share + commission economics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Commission rate + calculation method + payment cadence</w:t>
            </w:r>
          </w:p>
        </w:tc>
      </w:tr>
      <w:tr>
        <w:tc>
          <w:p>
            <w:r>
              <w:t xml:space="preserve">Compliance + safety (background checks, ADA, insurance)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Documentation completeness + reference verification</w:t>
            </w:r>
          </w:p>
        </w:tc>
      </w:tr>
      <w:tr>
        <w:tc>
          <w:p>
            <w:r>
              <w:t xml:space="preserve">Sustainability + community impact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ENERGY STAR fleet share, recyclable packaging, local-supplier inclusion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Smart Snacks in School — SKU compliance detail</w:t>
      </w:r>
    </w:p>
    <w:p>
      <w:pPr>
        <w:spacing w:after="200"/>
      </w:pPr>
      <w:r>
        <w:t xml:space="preserve">USDA Smart Snacks standards apply to competitive food sold during the school day (midnight before through 30 min after the last bell). High school after-school hours have different rules. The operator must demonstrate per-SKU compliance, not generic claims.</w:t>
      </w:r>
    </w:p>
    <w:p>
      <w:pPr>
        <w:spacing w:after="120"/>
      </w:pPr>
      <w:r>
        <w:rPr>
          <w:b/>
          <w:bCs/>
          <w:color w:val="111827"/>
        </w:rPr>
        <w:t xml:space="preserve">Calorie limit: </w:t>
      </w:r>
      <w:r>
        <w:t xml:space="preserve">Snacks ≤ 200 calories per package; entrée items ≤ 350 calories per portion.</w:t>
      </w:r>
    </w:p>
    <w:p>
      <w:pPr>
        <w:spacing w:after="120"/>
      </w:pPr>
      <w:r>
        <w:rPr>
          <w:b/>
          <w:bCs/>
          <w:color w:val="111827"/>
        </w:rPr>
        <w:t xml:space="preserve">Sodium limit: </w:t>
      </w:r>
      <w:r>
        <w:t xml:space="preserve">Snacks ≤ 200 mg sodium per package; entrée items ≤ 480 mg per portion.</w:t>
      </w:r>
    </w:p>
    <w:p>
      <w:pPr>
        <w:spacing w:after="120"/>
      </w:pPr>
      <w:r>
        <w:rPr>
          <w:b/>
          <w:bCs/>
          <w:color w:val="111827"/>
        </w:rPr>
        <w:t xml:space="preserve">Total fat: </w:t>
      </w:r>
      <w:r>
        <w:t xml:space="preserve">≤ 35% of total calories from fat (exceptions for nuts/seeds, reduced-fat cheese, nut butters).</w:t>
      </w:r>
    </w:p>
    <w:p>
      <w:pPr>
        <w:spacing w:after="120"/>
      </w:pPr>
      <w:r>
        <w:rPr>
          <w:b/>
          <w:bCs/>
          <w:color w:val="111827"/>
        </w:rPr>
        <w:t xml:space="preserve">Saturated fat: </w:t>
      </w:r>
      <w:r>
        <w:t xml:space="preserve">&lt; 10% of total calories from saturated fat (same exceptions).</w:t>
      </w:r>
    </w:p>
    <w:p>
      <w:pPr>
        <w:spacing w:after="120"/>
      </w:pPr>
      <w:r>
        <w:rPr>
          <w:b/>
          <w:bCs/>
          <w:color w:val="111827"/>
        </w:rPr>
        <w:t xml:space="preserve">Trans fat: </w:t>
      </w:r>
      <w:r>
        <w:t xml:space="preserve">Zero grams trans fat per portion.</w:t>
      </w:r>
    </w:p>
    <w:p>
      <w:pPr>
        <w:spacing w:after="120"/>
      </w:pPr>
      <w:r>
        <w:rPr>
          <w:b/>
          <w:bCs/>
          <w:color w:val="111827"/>
        </w:rPr>
        <w:t xml:space="preserve">Total sugar: </w:t>
      </w:r>
      <w:r>
        <w:t xml:space="preserve">≤ 35% of total weight from sugar (exceptions for dried fruit + dried-fruit-and-nut combinations).</w:t>
      </w:r>
    </w:p>
    <w:p>
      <w:pPr>
        <w:spacing w:after="120"/>
      </w:pPr>
      <w:r>
        <w:rPr>
          <w:b/>
          <w:bCs/>
          <w:color w:val="111827"/>
        </w:rPr>
        <w:t xml:space="preserve">Beverage rules: </w:t>
      </w:r>
      <w:r>
        <w:t xml:space="preserve">K-5: plain water + low-fat milk + 100% juice ≤ 8 oz. Middle: same + ≤ 12 oz. High: plus calorie-free flavored water ≤ 20 oz + low-calorie ≤ 12 oz. No carbonated beverages with caffeine in K-5; high school after-school different rule.</w:t>
      </w:r>
    </w:p>
    <w:p>
      <w:pPr>
        <w:pStyle w:val="Heading1"/>
        <w:spacing w:after="150" w:before="300"/>
      </w:pPr>
      <w:r>
        <w:t xml:space="preserve">4. Contract template — twelve clauses required</w:t>
      </w:r>
    </w:p>
    <w:p>
      <w:pPr>
        <w:spacing w:after="200"/>
      </w:pPr>
      <w:r>
        <w:t xml:space="preserve">District counsel should adapt this template to state code and board policy. Twelve clauses below are the minimum required set.</w:t>
      </w:r>
    </w:p>
    <w:p>
      <w:pPr>
        <w:spacing w:after="60" w:before="120"/>
      </w:pPr>
      <w:r>
        <w:rPr>
          <w:b/>
          <w:bCs/>
        </w:rPr>
        <w:t xml:space="preserve">1. Parties + term</w:t>
      </w:r>
    </w:p>
    <w:p>
      <w:pPr>
        <w:spacing w:after="120"/>
      </w:pPr>
      <w:r>
        <w:t xml:space="preserve">Legal names, district tax ID, term (commonly 3-5 years), renewal mechanism (board approval required for renewal).</w:t>
      </w:r>
    </w:p>
    <w:p>
      <w:pPr>
        <w:spacing w:after="60" w:before="120"/>
      </w:pPr>
      <w:r>
        <w:rPr>
          <w:b/>
          <w:bCs/>
        </w:rPr>
        <w:t xml:space="preserve">2. Scope of service</w:t>
      </w:r>
    </w:p>
    <w:p>
      <w:pPr>
        <w:spacing w:after="120"/>
      </w:pPr>
      <w:r>
        <w:t xml:space="preserve">List every school + every machine; vending vs. fundraising sales; school-day vs. after-school product mix.</w:t>
      </w:r>
    </w:p>
    <w:p>
      <w:pPr>
        <w:spacing w:after="60" w:before="120"/>
      </w:pPr>
      <w:r>
        <w:rPr>
          <w:b/>
          <w:bCs/>
        </w:rPr>
        <w:t xml:space="preserve">3. Smart Snacks attestation</w:t>
      </w:r>
    </w:p>
    <w:p>
      <w:pPr>
        <w:spacing w:after="120"/>
      </w:pPr>
      <w:r>
        <w:t xml:space="preserve">Operator attests every SKU sold during the school day complies with Smart Snacks; planogram changes require district nutrition lead approval.</w:t>
      </w:r>
    </w:p>
    <w:p>
      <w:pPr>
        <w:spacing w:after="60" w:before="120"/>
      </w:pPr>
      <w:r>
        <w:rPr>
          <w:b/>
          <w:bCs/>
        </w:rPr>
        <w:t xml:space="preserve">4. SLA + uptime</w:t>
      </w:r>
    </w:p>
    <w:p>
      <w:pPr>
        <w:spacing w:after="120"/>
      </w:pPr>
      <w:r>
        <w:t xml:space="preserve">97% per-machine uptime; tier-1 &lt; 24 hr; refund mechanism; cold-chain SLA where applicable.</w:t>
      </w:r>
    </w:p>
    <w:p>
      <w:pPr>
        <w:spacing w:after="60" w:before="120"/>
      </w:pPr>
      <w:r>
        <w:rPr>
          <w:b/>
          <w:bCs/>
        </w:rPr>
        <w:t xml:space="preserve">5. Commission + payment</w:t>
      </w:r>
    </w:p>
    <w:p>
      <w:pPr>
        <w:spacing w:after="120"/>
      </w:pPr>
      <w:r>
        <w:t xml:space="preserve">Commission rate, calculation method, monthly payment, settlement by 15th of following month, audit right.</w:t>
      </w:r>
    </w:p>
    <w:p>
      <w:pPr>
        <w:spacing w:after="60" w:before="120"/>
      </w:pPr>
      <w:r>
        <w:rPr>
          <w:b/>
          <w:bCs/>
        </w:rPr>
        <w:t xml:space="preserve">6. Telemetry + reporting</w:t>
      </w:r>
    </w:p>
    <w:p>
      <w:pPr>
        <w:spacing w:after="120"/>
      </w:pPr>
      <w:r>
        <w:t xml:space="preserve">Monthly per-machine + per-SKU report; access to live telemetry dashboard for district nutrition lead.</w:t>
      </w:r>
    </w:p>
    <w:p>
      <w:pPr>
        <w:spacing w:after="60" w:before="120"/>
      </w:pPr>
      <w:r>
        <w:rPr>
          <w:b/>
          <w:bCs/>
        </w:rPr>
        <w:t xml:space="preserve">7. Compliance + background checks</w:t>
      </w:r>
    </w:p>
    <w:p>
      <w:pPr>
        <w:spacing w:after="120"/>
      </w:pPr>
      <w:r>
        <w:t xml:space="preserve">Background-check attestation per state code; criminal-history monitoring; immediate notification on disqualifying event.</w:t>
      </w:r>
    </w:p>
    <w:p>
      <w:pPr>
        <w:spacing w:after="60" w:before="120"/>
      </w:pPr>
      <w:r>
        <w:rPr>
          <w:b/>
          <w:bCs/>
        </w:rPr>
        <w:t xml:space="preserve">8. ADA + accessibility</w:t>
      </w:r>
    </w:p>
    <w:p>
      <w:pPr>
        <w:spacing w:after="120"/>
      </w:pPr>
      <w:r>
        <w:t xml:space="preserve">Section 308 reach range; 305 clear floor space; 309.4 operating force; allergen labeling per FALCPA.</w:t>
      </w:r>
    </w:p>
    <w:p>
      <w:pPr>
        <w:spacing w:after="60" w:before="120"/>
      </w:pPr>
      <w:r>
        <w:rPr>
          <w:b/>
          <w:bCs/>
        </w:rPr>
        <w:t xml:space="preserve">9. Insurance + indemnification</w:t>
      </w:r>
    </w:p>
    <w:p>
      <w:pPr>
        <w:spacing w:after="120"/>
      </w:pPr>
      <w:r>
        <w:t xml:space="preserve">CGL $2M minimum; workers' comp; additional-insured endorsement; waiver of subrogation.</w:t>
      </w:r>
    </w:p>
    <w:p>
      <w:pPr>
        <w:spacing w:after="60" w:before="120"/>
      </w:pPr>
      <w:r>
        <w:rPr>
          <w:b/>
          <w:bCs/>
        </w:rPr>
        <w:t xml:space="preserve">10. Termination</w:t>
      </w:r>
    </w:p>
    <w:p>
      <w:pPr>
        <w:spacing w:after="120"/>
      </w:pPr>
      <w:r>
        <w:t xml:space="preserve">Termination for cause (30-day cure for material breach); termination for convenience (90-day notice mutual); equipment removal at operator cost.</w:t>
      </w:r>
    </w:p>
    <w:p>
      <w:pPr>
        <w:spacing w:after="60" w:before="120"/>
      </w:pPr>
      <w:r>
        <w:rPr>
          <w:b/>
          <w:bCs/>
        </w:rPr>
        <w:t xml:space="preserve">11. Data + student privacy</w:t>
      </w:r>
    </w:p>
    <w:p>
      <w:pPr>
        <w:spacing w:after="120"/>
      </w:pPr>
      <w:r>
        <w:t xml:space="preserve">FERPA compliance on any student-account integration; no PII sold or shared; data-breach notification per state code.</w:t>
      </w:r>
    </w:p>
    <w:p>
      <w:pPr>
        <w:spacing w:after="60" w:before="120"/>
      </w:pPr>
      <w:r>
        <w:rPr>
          <w:b/>
          <w:bCs/>
        </w:rPr>
        <w:t xml:space="preserve">12. Revenue use + transparency</w:t>
      </w:r>
    </w:p>
    <w:p>
      <w:pPr>
        <w:spacing w:after="120"/>
      </w:pPr>
      <w:r>
        <w:t xml:space="preserve">If revenue is allocated to specific student programs (athletics, library, classroom enhancement), document allocation; annual public report aligned to board policy.</w:t>
      </w:r>
    </w:p>
    <w:p>
      <w:pPr>
        <w:pStyle w:val="Heading1"/>
        <w:spacing w:after="150" w:before="300"/>
      </w:pPr>
      <w:r>
        <w:t xml:space="preserve">5. Student-account integration — pre-contract verification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payment vendor supports the district's POS provider (MealMagic, Nutrikids, MySchoolBucks, LINQ, etc.)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attestation through the payment vendor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FERPA compliance — no student data shared with operator beyond transaction ID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Free + reduced-price meal eligibility data NEVER shared with the vending operator (federal requirement)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mechanism credits the student account, not the vending operator</w:t>
      </w:r>
    </w:p>
    <w:p>
      <w:pPr>
        <w:pStyle w:val="Heading1"/>
        <w:spacing w:after="150" w:before="300"/>
      </w:pPr>
      <w:r>
        <w:t xml:space="preserve">6. Common district RFP gaps to close</w:t>
      </w:r>
    </w:p>
    <w:p>
      <w:pPr>
        <w:spacing w:after="120"/>
      </w:pPr>
      <w:r>
        <w:rPr>
          <w:b/>
          <w:bCs/>
          <w:color w:val="111827"/>
        </w:rPr>
        <w:t xml:space="preserve">Generic Smart Snacks claim without SKU detail: </w:t>
      </w:r>
      <w:r>
        <w:t xml:space="preserve">Many operators say 'we comply with Smart Snacks' without per-SKU evidence. Require an SKU list run through the USDA Smart Snacks calculator (the Alliance for a Healthier Generation Product Calculator is the standard tool).</w:t>
      </w:r>
    </w:p>
    <w:p>
      <w:pPr>
        <w:spacing w:after="120"/>
      </w:pPr>
      <w:r>
        <w:rPr>
          <w:b/>
          <w:bCs/>
          <w:color w:val="111827"/>
        </w:rPr>
        <w:t xml:space="preserve">Background-check policy without state alignment: </w:t>
      </w:r>
      <w:r>
        <w:t xml:space="preserve">Each state has specific background-check code (Texas Education Code §22.0834; California Education Code §45125; New York Education Law §1125). Reference the applicable code by section.</w:t>
      </w:r>
    </w:p>
    <w:p>
      <w:pPr>
        <w:spacing w:after="120"/>
      </w:pPr>
      <w:r>
        <w:rPr>
          <w:b/>
          <w:bCs/>
          <w:color w:val="111827"/>
        </w:rPr>
        <w:t xml:space="preserve">No live telemetry access for district nutrition lead: </w:t>
      </w:r>
      <w:r>
        <w:t xml:space="preserve">Without live telemetry, the district cannot verify SKU + sales for the wellness-policy reporting required under HHFKA 2010 § 9A.</w:t>
      </w:r>
    </w:p>
    <w:p>
      <w:pPr>
        <w:spacing w:after="120"/>
      </w:pPr>
      <w:r>
        <w:rPr>
          <w:b/>
          <w:bCs/>
          <w:color w:val="111827"/>
        </w:rPr>
        <w:t xml:space="preserve">Revenue allocation undocumented: </w:t>
      </w:r>
      <w:r>
        <w:t xml:space="preserve">Where vending revenue funds athletics or classroom programs, the allocation policy belongs in the contract or in a board-adopted policy referenced in the contract.</w:t>
      </w:r>
    </w:p>
    <w:p>
      <w:pPr>
        <w:spacing w:after="120"/>
      </w:pPr>
      <w:r>
        <w:rPr>
          <w:b/>
          <w:bCs/>
          <w:color w:val="111827"/>
        </w:rPr>
        <w:t xml:space="preserve">No coordination with cafeteria USDA reimbursement: </w:t>
      </w:r>
      <w:r>
        <w:t xml:space="preserve">USDA-reimbursable meal program (NSLP) has product-overlap rules with competitive foods. Coordinate with the Director of Food Services before signing.</w:t>
      </w:r>
    </w:p>
    <w:p>
      <w:pPr>
        <w:spacing w:before="400"/>
      </w:pPr>
      <w:r>
        <w:rPr>
          <w:i/>
          <w:iCs/>
          <w:color w:val="6B7280"/>
        </w:rPr>
        <w:t xml:space="preserve">This framework is a working procurement reference, not legal advice. Final RFP + contract should be reviewed by district counsel and aligned to state procurement code, USDA Smart Snacks standards, and the district's local wellness policy. Smart Snacks + background-check + FERPA clauses are most commonly gapped in vending RFPs; close those before issuance.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Multi-School District Vending RFP Framework</dc:title>
  <dc:creator>LetUsVending</dc:creator>
  <dc:description>Operator capability profile, evaluation criteria, and contract template aligned to Smart Snacks in School + USDA + state procurement rules</dc:description>
  <cp:lastModifiedBy>Un-named</cp:lastModifiedBy>
  <cp:revision>1</cp:revision>
  <dcterms:created xsi:type="dcterms:W3CDTF">2026-05-17T13:18:13.621Z</dcterms:created>
  <dcterms:modified xsi:type="dcterms:W3CDTF">2026-05-17T13:18:13.623Z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