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VIP Suite Vending RFP Template</w:t>
      </w:r>
    </w:p>
    <w:p>
      <w:pPr>
        <w:spacing w:after="200"/>
      </w:pPr>
      <w:r>
        <w:rPr>
          <w:i/>
          <w:iCs/>
          <w:color w:val="6B7280"/>
        </w:rPr>
        <w:t xml:space="preserve">Suite-billing integration playbook, premium SKU catalog, operator capability matrix, and SLA framework</w:t>
      </w:r>
    </w:p>
    <w:p>
      <w:pPr>
        <w:spacing w:after="300"/>
      </w:pPr>
      <w:r>
        <w:t xml:space="preserve">Use this RFP template to solicit vending bids for VIP / suite environments where the audience expects concierge-grade discretion, premium SKUs, and seamless billing to the suite folio. The template covers suite-billing integration, the premium SKU catalog, the capability matrix, and the SLA posture appropriate to ultra-VIP placements.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rPr>
          <w:b/>
          <w:bCs/>
          <w:color w:val="111827"/>
        </w:rPr>
        <w:t xml:space="preserve">Venue + suite count: </w:t>
      </w:r>
      <w:r>
        <w:t xml:space="preserve">(specify — e.g., 60-suite tier at 18,000-seat arena; 40-suite tier at 50,000-seat stadium). Capability framing — describe environment, not anchor venue names.</w:t>
      </w:r>
    </w:p>
    <w:p>
      <w:pPr>
        <w:spacing w:after="120"/>
      </w:pPr>
      <w:r>
        <w:rPr>
          <w:b/>
          <w:bCs/>
          <w:color w:val="111827"/>
        </w:rPr>
        <w:t xml:space="preserve">Suite types: </w:t>
      </w:r>
      <w:r>
        <w:t xml:space="preserve">Single-event lease, season lease, corporate-host, owner. Each may bill differently; operator scopes per type.</w:t>
      </w:r>
    </w:p>
    <w:p>
      <w:pPr>
        <w:spacing w:after="120"/>
      </w:pPr>
      <w:r>
        <w:rPr>
          <w:b/>
          <w:bCs/>
          <w:color w:val="111827"/>
        </w:rPr>
        <w:t xml:space="preserve">Per-suite-event premium spend benchmark: </w:t>
      </w:r>
      <w:r>
        <w:t xml:space="preserve">Typical $250-$2,500 in vending + concession adjacent; operator's SKU mix must support full range.</w:t>
      </w:r>
    </w:p>
    <w:p>
      <w:pPr>
        <w:spacing w:after="120"/>
      </w:pPr>
      <w:r>
        <w:rPr>
          <w:b/>
          <w:bCs/>
          <w:color w:val="111827"/>
        </w:rPr>
        <w:t xml:space="preserve">Contract term: </w:t>
      </w:r>
      <w:r>
        <w:t xml:space="preserve">3-5 year initial with quarterly premium-tier refresh.</w:t>
      </w:r>
    </w:p>
    <w:p>
      <w:pPr>
        <w:pStyle w:val="Heading1"/>
        <w:spacing w:after="150" w:before="300"/>
      </w:pPr>
      <w:r>
        <w:t xml:space="preserve">2. Suite-billing integration playbook</w:t>
      </w:r>
    </w:p>
    <w:p>
      <w:pPr>
        <w:spacing w:after="200"/>
      </w:pPr>
      <w:r>
        <w:t xml:space="preserve">Suite billing is the differentiator vs. general vending. Operator must integrate to the venue's POS / suite-billing platform so vending charges roll to the suite folio. Specify integration with Appetize, Bypass, Tapin2, Oracle Simphony, or comparable.</w:t>
      </w:r>
    </w:p>
    <w:p>
      <w:pPr>
        <w:spacing w:after="60" w:before="120"/>
      </w:pPr>
      <w:r>
        <w:rPr>
          <w:b/>
          <w:bCs/>
        </w:rPr>
        <w:t xml:space="preserve">1. Suite-credential read</w:t>
      </w:r>
    </w:p>
    <w:p>
      <w:pPr>
        <w:spacing w:after="120"/>
      </w:pPr>
      <w:r>
        <w:t xml:space="preserve">Suite-holder taps a venue-issued NFC card, mobile-wallet pass, or Apple Wallet event ticket at machine; charges roll to suite folio.</w:t>
      </w:r>
    </w:p>
    <w:p>
      <w:pPr>
        <w:spacing w:after="60" w:before="120"/>
      </w:pPr>
      <w:r>
        <w:rPr>
          <w:b/>
          <w:bCs/>
        </w:rPr>
        <w:t xml:space="preserve">2. POS integration</w:t>
      </w:r>
    </w:p>
    <w:p>
      <w:pPr>
        <w:spacing w:after="120"/>
      </w:pPr>
      <w:r>
        <w:t xml:space="preserve">Operator's payment platform exchanges transaction data with venue POS (Appetize, Bypass, Tapin2, Oracle Simphony, or comparable) via REST or X12 EDI; latency &lt; 5 seconds for charge confirmation.</w:t>
      </w:r>
    </w:p>
    <w:p>
      <w:pPr>
        <w:spacing w:after="60" w:before="120"/>
      </w:pPr>
      <w:r>
        <w:rPr>
          <w:b/>
          <w:bCs/>
        </w:rPr>
        <w:t xml:space="preserve">3. Concierge override</w:t>
      </w:r>
    </w:p>
    <w:p>
      <w:pPr>
        <w:spacing w:after="120"/>
      </w:pPr>
      <w:r>
        <w:t xml:space="preserve">Suite host can authorize a non-credentialed guest purchase via suite-attendant app; operator provides attendant interface.</w:t>
      </w:r>
    </w:p>
    <w:p>
      <w:pPr>
        <w:spacing w:after="60" w:before="120"/>
      </w:pPr>
      <w:r>
        <w:rPr>
          <w:b/>
          <w:bCs/>
        </w:rPr>
        <w:t xml:space="preserve">4. Real-time folio visibility</w:t>
      </w:r>
    </w:p>
    <w:p>
      <w:pPr>
        <w:spacing w:after="120"/>
      </w:pPr>
      <w:r>
        <w:t xml:space="preserve">Suite-holder can see running vending tab on suite tablet or mobile app; itemized statement at event close.</w:t>
      </w:r>
    </w:p>
    <w:p>
      <w:pPr>
        <w:spacing w:after="60" w:before="120"/>
      </w:pPr>
      <w:r>
        <w:rPr>
          <w:b/>
          <w:bCs/>
        </w:rPr>
        <w:t xml:space="preserve">5. Reconciliation</w:t>
      </w:r>
    </w:p>
    <w:p>
      <w:pPr>
        <w:spacing w:after="120"/>
      </w:pPr>
      <w:r>
        <w:t xml:space="preserve">Daily settlement file from operator to venue accounting; discrepancies investigated within 48 hours.</w:t>
      </w:r>
    </w:p>
    <w:p>
      <w:pPr>
        <w:spacing w:after="60" w:before="120"/>
      </w:pPr>
      <w:r>
        <w:rPr>
          <w:b/>
          <w:bCs/>
        </w:rPr>
        <w:t xml:space="preserve">6. PCI compliance</w:t>
      </w:r>
    </w:p>
    <w:p>
      <w:pPr>
        <w:spacing w:after="120"/>
      </w:pPr>
      <w:r>
        <w:t xml:space="preserve">Operator + venue POS path are PCI DSS Level 1; tokenization end-to-end; cardholder data never touches venue infrastructure.</w:t>
      </w:r>
    </w:p>
    <w:p>
      <w:pPr>
        <w:pStyle w:val="Heading1"/>
        <w:spacing w:after="150" w:before="300"/>
      </w:pPr>
      <w:r>
        <w:t xml:space="preserve">3. Premium SKU catalog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SKU count target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Sample anchor items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Per-unit price band</w:t>
            </w:r>
          </w:p>
        </w:tc>
      </w:tr>
      <w:tr>
        <w:tc>
          <w:p>
            <w:r>
              <w:t xml:space="preserve">Premium still + sparkling water</w:t>
            </w:r>
          </w:p>
        </w:tc>
        <w:tc>
          <w:p>
            <w:r>
              <w:t xml:space="preserve">4-6</w:t>
            </w:r>
          </w:p>
        </w:tc>
        <w:tc>
          <w:p>
            <w:r>
              <w:t xml:space="preserve">Saratoga, Acqua Panna, San Pellegrino, Topo Chico</w:t>
            </w:r>
          </w:p>
        </w:tc>
        <w:tc>
          <w:p>
            <w:r>
              <w:t xml:space="preserve">$5-$9</w:t>
            </w:r>
          </w:p>
        </w:tc>
      </w:tr>
      <w:tr>
        <w:tc>
          <w:p>
            <w:r>
              <w:t xml:space="preserve">Craft + functional beverage</w:t>
            </w:r>
          </w:p>
        </w:tc>
        <w:tc>
          <w:p>
            <w:r>
              <w:t xml:space="preserve">4-6</w:t>
            </w:r>
          </w:p>
        </w:tc>
        <w:tc>
          <w:p>
            <w:r>
              <w:t xml:space="preserve">Cold-brew nitro, kombucha, functional adaptogens</w:t>
            </w:r>
          </w:p>
        </w:tc>
        <w:tc>
          <w:p>
            <w:r>
              <w:t xml:space="preserve">$6-$12</w:t>
            </w:r>
          </w:p>
        </w:tc>
      </w:tr>
      <w:tr>
        <w:tc>
          <w:p>
            <w:r>
              <w:t xml:space="preserve">Premium savory snack</w:t>
            </w:r>
          </w:p>
        </w:tc>
        <w:tc>
          <w:p>
            <w:r>
              <w:t xml:space="preserve">4-6</w:t>
            </w:r>
          </w:p>
        </w:tc>
        <w:tc>
          <w:p>
            <w:r>
              <w:t xml:space="preserve">Truffle popcorn, single-origin charcuterie packs, premium nuts</w:t>
            </w:r>
          </w:p>
        </w:tc>
        <w:tc>
          <w:p>
            <w:r>
              <w:t xml:space="preserve">$8-$18</w:t>
            </w:r>
          </w:p>
        </w:tc>
      </w:tr>
      <w:tr>
        <w:tc>
          <w:p>
            <w:r>
              <w:t xml:space="preserve">Premium sweet snack</w:t>
            </w:r>
          </w:p>
        </w:tc>
        <w:tc>
          <w:p>
            <w:r>
              <w:t xml:space="preserve">3-5</w:t>
            </w:r>
          </w:p>
        </w:tc>
        <w:tc>
          <w:p>
            <w:r>
              <w:t xml:space="preserve">Single-origin chocolate (Valrhona / Amedei), artisan cookies</w:t>
            </w:r>
          </w:p>
        </w:tc>
        <w:tc>
          <w:p>
            <w:r>
              <w:t xml:space="preserve">$6-$14</w:t>
            </w:r>
          </w:p>
        </w:tc>
      </w:tr>
      <w:tr>
        <w:tc>
          <w:p>
            <w:r>
              <w:t xml:space="preserve">Health + dietary specialty</w:t>
            </w:r>
          </w:p>
        </w:tc>
        <w:tc>
          <w:p>
            <w:r>
              <w:t xml:space="preserve">3-5</w:t>
            </w:r>
          </w:p>
        </w:tc>
        <w:tc>
          <w:p>
            <w:r>
              <w:t xml:space="preserve">Allergen-free protein, keto / paleo bars, plant-based jerky</w:t>
            </w:r>
          </w:p>
        </w:tc>
        <w:tc>
          <w:p>
            <w:r>
              <w:t xml:space="preserve">$5-$10</w:t>
            </w:r>
          </w:p>
        </w:tc>
      </w:tr>
      <w:tr>
        <w:tc>
          <w:p>
            <w:r>
              <w:t xml:space="preserve">Gift + impulse premium</w:t>
            </w:r>
          </w:p>
        </w:tc>
        <w:tc>
          <w:p>
            <w:r>
              <w:t xml:space="preserve">3-5</w:t>
            </w:r>
          </w:p>
        </w:tc>
        <w:tc>
          <w:p>
            <w:r>
              <w:t xml:space="preserve">Branded merchandise, premium gum/mints, travel kits</w:t>
            </w:r>
          </w:p>
        </w:tc>
        <w:tc>
          <w:p>
            <w:r>
              <w:t xml:space="preserve">$8-$25</w:t>
            </w:r>
          </w:p>
        </w:tc>
      </w:tr>
      <w:tr>
        <w:tc>
          <w:p>
            <w:r>
              <w:t xml:space="preserve">Cold-chain prepared</w:t>
            </w:r>
          </w:p>
        </w:tc>
        <w:tc>
          <w:p>
            <w:r>
              <w:t xml:space="preserve">4-6</w:t>
            </w:r>
          </w:p>
        </w:tc>
        <w:tc>
          <w:p>
            <w:r>
              <w:t xml:space="preserve">Sushi, bento, premium salads — HACCP + FDA Food Code 2022 §3-501 compliance required</w:t>
            </w:r>
          </w:p>
        </w:tc>
        <w:tc>
          <w:p>
            <w:r>
              <w:t xml:space="preserve">$12-$28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Operator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Evidence required</w:t>
            </w:r>
          </w:p>
        </w:tc>
      </w:tr>
      <w:tr>
        <w:tc>
          <w:p>
            <w:r>
              <w:t xml:space="preserve">Suite-billing integration (Section 2)</w:t>
            </w:r>
          </w:p>
        </w:tc>
        <w:tc>
          <w:p>
            <w:r>
              <w:t xml:space="preserve">25%</w:t>
            </w:r>
          </w:p>
        </w:tc>
        <w:tc>
          <w:p>
            <w:r>
              <w:t xml:space="preserve">POS platform integration evidence; sample transaction flow; tokenization architecture</w:t>
            </w:r>
          </w:p>
        </w:tc>
      </w:tr>
      <w:tr>
        <w:tc>
          <w:p>
            <w:r>
              <w:t xml:space="preserve">Premium SKU sourcing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Vendor list + distributor relationships for premium categories</w:t>
            </w:r>
          </w:p>
        </w:tc>
      </w:tr>
      <w:tr>
        <w:tc>
          <w:p>
            <w:r>
              <w:t xml:space="preserve">Cold-chain + food safety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HACCP plan; FDA Food Code 2022 §3-501; temperature-monitoring telemetry</w:t>
            </w:r>
          </w:p>
        </w:tc>
      </w:tr>
      <w:tr>
        <w:tc>
          <w:p>
            <w:r>
              <w:t xml:space="preserve">Staff discretion + access protocol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Background check, NDA, VIP-floor access protocol, dress code</w:t>
            </w:r>
          </w:p>
        </w:tc>
      </w:tr>
      <w:tr>
        <w:tc>
          <w:p>
            <w:r>
              <w:t xml:space="preserve">Aesthetic + finish quality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Wood / metal / leather-trim cabinet options; ADA Section 308 maintained</w:t>
            </w:r>
          </w:p>
        </w:tc>
      </w:tr>
      <w:tr>
        <w:tc>
          <w:p>
            <w:r>
              <w:t xml:space="preserve">Restock + curation cadence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Quarterly rotation; per-event pre-stock with 24-hour advance suite-holder allergy / preference accommodation</w:t>
            </w:r>
          </w:p>
        </w:tc>
      </w:tr>
      <w:tr>
        <w:tc>
          <w:p>
            <w:r>
              <w:t xml:space="preserve">Insurance + bonding</w:t>
            </w:r>
          </w:p>
        </w:tc>
        <w:tc>
          <w:p>
            <w:r>
              <w:t xml:space="preserve">5%</w:t>
            </w:r>
          </w:p>
        </w:tc>
        <w:tc>
          <w:p>
            <w:r>
              <w:t xml:space="preserve">$5M GL + $5M product liability + $500K crime + $2M cyber</w:t>
            </w:r>
          </w:p>
        </w:tc>
      </w:tr>
      <w:tr>
        <w:tc>
          <w:p>
            <w:r>
              <w:t xml:space="preserve">Reporting + analytics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Per-event flash, monthly velocity, quarterly suite-holder satisfaction</w:t>
            </w:r>
          </w:p>
        </w:tc>
      </w:tr>
      <w:tr>
        <w:tc>
          <w:p>
            <w:r>
              <w:t xml:space="preserve">Pricing transparency</w:t>
            </w:r>
          </w:p>
        </w:tc>
        <w:tc>
          <w:p>
            <w:r>
              <w:t xml:space="preserve">5%</w:t>
            </w:r>
          </w:p>
        </w:tc>
        <w:tc>
          <w:p>
            <w:r>
              <w:t xml:space="preserve">Revenue share or fixed fee, line-itemized; per-suite folio reporting cadence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SLA framework</w:t>
      </w:r>
    </w:p>
    <w:p>
      <w:pPr>
        <w:spacing w:after="120"/>
      </w:pPr>
      <w:r>
        <w:rPr>
          <w:b/>
          <w:bCs/>
          <w:color w:val="111827"/>
        </w:rPr>
        <w:t xml:space="preserve">Uptime SLA: </w:t>
      </w:r>
      <w:r>
        <w:t xml:space="preserve">99.5% (industry typical for general vending is 95-97%; VIP tier requires 99.5%).</w:t>
      </w:r>
    </w:p>
    <w:p>
      <w:pPr>
        <w:spacing w:after="120"/>
      </w:pPr>
      <w:r>
        <w:rPr>
          <w:b/>
          <w:bCs/>
          <w:color w:val="111827"/>
        </w:rPr>
        <w:t xml:space="preserve">Stockout SLA: </w:t>
      </w:r>
      <w:r>
        <w:t xml:space="preserve">Zero stockouts during event hours for suite-machines; operator pre-event stock to plan, mid-event surge crew.</w:t>
      </w:r>
    </w:p>
    <w:p>
      <w:pPr>
        <w:spacing w:after="120"/>
      </w:pPr>
      <w:r>
        <w:rPr>
          <w:b/>
          <w:bCs/>
          <w:color w:val="111827"/>
        </w:rPr>
        <w:t xml:space="preserve">Cold-chain SLA: </w:t>
      </w:r>
      <w:r>
        <w:t xml:space="preserve">2-hour on-site response on temperature excursion; all TCS in excursion window discarded + replaced at operator cost.</w:t>
      </w:r>
    </w:p>
    <w:p>
      <w:pPr>
        <w:spacing w:after="120"/>
      </w:pPr>
      <w:r>
        <w:rPr>
          <w:b/>
          <w:bCs/>
          <w:color w:val="111827"/>
        </w:rPr>
        <w:t xml:space="preserve">Refund SLA: </w:t>
      </w:r>
      <w:r>
        <w:t xml:space="preserve">Concierge phone + app channel; member-initiated refund auto-credited within 4 hours; charged-to-folio reversal within 1 business day.</w:t>
      </w:r>
    </w:p>
    <w:p>
      <w:pPr>
        <w:spacing w:after="120"/>
      </w:pPr>
      <w:r>
        <w:rPr>
          <w:b/>
          <w:bCs/>
          <w:color w:val="111827"/>
        </w:rPr>
        <w:t xml:space="preserve">Aesthetic SLA: </w:t>
      </w:r>
      <w:r>
        <w:t xml:space="preserve">Cabinet wiped to luxury-finish standard per visit; finish-defect repair within 7 days; photo log uploaded to operator portal.</w:t>
      </w:r>
    </w:p>
    <w:p>
      <w:pPr>
        <w:spacing w:after="120"/>
      </w:pPr>
      <w:r>
        <w:rPr>
          <w:b/>
          <w:bCs/>
          <w:color w:val="111827"/>
        </w:rPr>
        <w:t xml:space="preserve">Reporting SLA: </w:t>
      </w:r>
      <w:r>
        <w:t xml:space="preserve">Per-event flash within 24 hours; monthly suite-folio reconciliation within 5 business days of month-end.</w:t>
      </w:r>
    </w:p>
    <w:p>
      <w:pPr>
        <w:pStyle w:val="Heading1"/>
        <w:spacing w:after="150" w:before="300"/>
      </w:pPr>
      <w:r>
        <w:t xml:space="preserve">6. Required attachments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Portfolio: 3+ comparable VIP / suite placements (capability framing — environment scale, not anchor venue names).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POS integration evidence (Section 2) with at least one of Appetize / Bypass / Tapin2 / Oracle Simphony.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premium SKU catalog with vendor list.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HACCP plan + FDA Food Code 2022 §3-501 attestation.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certificates per Section 4.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per-event + monthly + quarterly reports.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References: 3 venue F&amp;B / suite-sales / hospitality contacts (last 24 months).</w:t>
      </w:r>
    </w:p>
    <w:p>
      <w:pPr>
        <w:pStyle w:val="Heading1"/>
        <w:spacing w:after="150" w:before="300"/>
      </w:pPr>
      <w:r>
        <w:t xml:space="preserve">7. Submission instructions</w:t>
      </w:r>
    </w:p>
    <w:p>
      <w:pPr>
        <w:spacing w:after="120"/>
      </w:pPr>
      <w:r>
        <w:rPr>
          <w:b/>
          <w:bCs/>
          <w:color w:val="111827"/>
        </w:rPr>
        <w:t xml:space="preserve">Format: </w:t>
      </w:r>
      <w:r>
        <w:t xml:space="preserve">PDF response via procurement portal.</w:t>
      </w:r>
    </w:p>
    <w:p>
      <w:pPr>
        <w:spacing w:after="120"/>
      </w:pPr>
      <w:r>
        <w:rPr>
          <w:b/>
          <w:bCs/>
          <w:color w:val="111827"/>
        </w:rPr>
        <w:t xml:space="preserve">Due date: </w:t>
      </w:r>
      <w:r>
        <w:t xml:space="preserve">(specify — typically 30-45 days)</w:t>
      </w:r>
    </w:p>
    <w:p>
      <w:pPr>
        <w:spacing w:after="120"/>
      </w:pPr>
      <w:r>
        <w:rPr>
          <w:b/>
          <w:bCs/>
          <w:color w:val="111827"/>
        </w:rPr>
        <w:t xml:space="preserve">Mandatory site walk: </w:t>
      </w:r>
      <w:r>
        <w:t xml:space="preserve">Suite-tier walk-through with venue F&amp;B + suite-sales; capability framing in scoring.</w:t>
      </w:r>
    </w:p>
    <w:p>
      <w:pPr>
        <w:spacing w:after="120"/>
      </w:pPr>
      <w:r>
        <w:rPr>
          <w:b/>
          <w:bCs/>
          <w:color w:val="111827"/>
        </w:rPr>
        <w:t xml:space="preserve">Award: </w:t>
      </w:r>
      <w:r>
        <w:t xml:space="preserve">(specify — typically 45-60 days)</w:t>
      </w:r>
    </w:p>
    <w:p>
      <w:pPr>
        <w:spacing w:before="400"/>
      </w:pPr>
      <w:r>
        <w:rPr>
          <w:i/>
          <w:iCs/>
          <w:color w:val="6B7280"/>
        </w:rPr>
        <w:t xml:space="preserve">Informational template — engage venue procurement, F&amp;B, and risk counsel before issue. Suite-billing integration cost should be confirmed against the venue's current POS contract.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VIP Suite Vending RFP Template</dc:title>
  <dc:creator>LetUsVending</dc:creator>
  <dc:description>Suite-billing integration playbook, premium SKU catalog, operator capability matrix, and SLA framework</dc:description>
  <cp:lastModifiedBy>Un-named</cp:lastModifiedBy>
  <cp:revision>1</cp:revision>
  <dcterms:created xsi:type="dcterms:W3CDTF">2026-05-17T13:18:13.944Z</dcterms:created>
  <dcterms:modified xsi:type="dcterms:W3CDTF">2026-05-17T13:18:13.945Z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