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Two-Week Vending Traffic Study Template</w:t>
      </w:r>
    </w:p>
    <w:p>
      <w:pPr>
        <w:spacing w:after="200"/>
      </w:pPr>
      <w:r>
        <w:rPr>
          <w:i/>
          <w:iCs/>
          <w:color w:val="6B7280"/>
        </w:rPr>
        <w:t xml:space="preserve">Pre-RFP traffic + intent measurement to size a combo vs separate-unit decision</w:t>
      </w:r>
    </w:p>
    <w:p>
      <w:pPr>
        <w:spacing w:after="300"/>
      </w:pPr>
      <w:r>
        <w:t xml:space="preserve">Use this template to run a structured 14-day traffic and intent study before issuing a vending RFP. Output drives equipment sizing (combo unit vs separate snack + beverage), facing count, refrigeration scope, and commission expectations. The template is built to be reproduced in Google Sheets, Excel, or any tracking tool. Methodology references NEMS-V (Nutrition Environment Measures Survey — Vending) and standard retail-traffic study practice.</w:t>
      </w:r>
    </w:p>
    <w:p>
      <w:pPr>
        <w:pStyle w:val="Heading1"/>
        <w:spacing w:after="150" w:before="300"/>
      </w:pPr>
      <w:r>
        <w:t xml:space="preserve">1. Pre-study setup</w:t>
      </w:r>
    </w:p>
    <w:p>
      <w:pPr>
        <w:spacing w:after="200"/>
      </w:pPr>
      <w:r>
        <w:t xml:space="preserve">Operator and host complete this together before day 1. Misaligned definitions are the single biggest source of bad study output.</w:t>
      </w:r>
    </w:p>
    <w:p>
      <w:pPr>
        <w:spacing w:after="120"/>
      </w:pPr>
      <w:r>
        <w:rPr>
          <w:b/>
          <w:bCs/>
          <w:color w:val="111827"/>
        </w:rPr>
        <w:t xml:space="preserve">Define the study area: </w:t>
      </w:r>
      <w:r>
        <w:t xml:space="preserve">Identify each candidate placement zone (lobby, breakroom, corridor adjacency). Mark on a floor plan with dimensions, sight-lines, and current foot-traffic path.</w:t>
      </w:r>
    </w:p>
    <w:p>
      <w:pPr>
        <w:spacing w:after="120"/>
      </w:pPr>
      <w:r>
        <w:rPr>
          <w:b/>
          <w:bCs/>
          <w:color w:val="111827"/>
        </w:rPr>
        <w:t xml:space="preserve">Confirm headcount + shifts: </w:t>
      </w:r>
      <w:r>
        <w:t xml:space="preserve">Daily on-site population by shift (e.g., shift-1 200 / shift-2 60 / shift-3 30). Distinguish from total employees / members / residents (many won't visit daily).</w:t>
      </w:r>
    </w:p>
    <w:p>
      <w:pPr>
        <w:spacing w:after="120"/>
      </w:pPr>
      <w:r>
        <w:rPr>
          <w:b/>
          <w:bCs/>
          <w:color w:val="111827"/>
        </w:rPr>
        <w:t xml:space="preserve">Identify existing channels: </w:t>
      </w:r>
      <w:r>
        <w:t xml:space="preserve">List current food-and-beverage options within 5 minutes walking distance (cafeteria, café, market, peer vending, off-site retail). Calls 'competition' explicit.</w:t>
      </w:r>
    </w:p>
    <w:p>
      <w:pPr>
        <w:spacing w:after="120"/>
      </w:pPr>
      <w:r>
        <w:rPr>
          <w:b/>
          <w:bCs/>
          <w:color w:val="111827"/>
        </w:rPr>
        <w:t xml:space="preserve">Define measurement windows: </w:t>
      </w:r>
      <w:r>
        <w:t xml:space="preserve">Three 60-90 minute windows per day capturing your most-likely peaks (AM peak, lunch, PM/late peak). Total study window = 14 consecutive days.</w:t>
      </w:r>
    </w:p>
    <w:p>
      <w:pPr>
        <w:spacing w:after="120"/>
      </w:pPr>
      <w:r>
        <w:rPr>
          <w:b/>
          <w:bCs/>
          <w:color w:val="111827"/>
        </w:rPr>
        <w:t xml:space="preserve">Recruit counters or telemetry: </w:t>
      </w:r>
      <w:r>
        <w:t xml:space="preserve">Two-person manual count team OR people-counting telemetry (sensor at door / amenity area). Calibrate sensor against manual count on day 1.</w:t>
      </w:r>
    </w:p>
    <w:p>
      <w:pPr>
        <w:pStyle w:val="Heading1"/>
        <w:spacing w:after="150" w:before="300"/>
      </w:pPr>
      <w:r>
        <w:t xml:space="preserve">2. Daily data collection — Sheet 1: Foot traffic</w:t>
      </w:r>
    </w:p>
    <w:p>
      <w:pPr>
        <w:spacing w:after="200"/>
      </w:pPr>
      <w:r>
        <w:t xml:space="preserve">Manual or telemetry-driven count of unique passersby vs interactors during each measurement window. Refer to this sheet during planogram + sizing discussions.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p>
            <w:r>
              <w:t xml:space="preserve">A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YYYY-MM-DD</w:t>
            </w:r>
          </w:p>
        </w:tc>
      </w:tr>
      <w:tr>
        <w:tc>
          <w:p>
            <w:r>
              <w:t xml:space="preserve">B</w:t>
            </w:r>
          </w:p>
        </w:tc>
        <w:tc>
          <w:p>
            <w:r>
              <w:t xml:space="preserve">Day of week</w:t>
            </w:r>
          </w:p>
        </w:tc>
        <w:tc>
          <w:p>
            <w:r>
              <w:t xml:space="preserve">Lookup</w:t>
            </w:r>
          </w:p>
        </w:tc>
        <w:tc>
          <w:p>
            <w:r>
              <w:t xml:space="preserve">Auto-fill from date</w:t>
            </w:r>
          </w:p>
        </w:tc>
      </w:tr>
      <w:tr>
        <w:tc>
          <w:p>
            <w:r>
              <w:t xml:space="preserve">C</w:t>
            </w:r>
          </w:p>
        </w:tc>
        <w:tc>
          <w:p>
            <w:r>
              <w:t xml:space="preserve">Window</w:t>
            </w:r>
          </w:p>
        </w:tc>
        <w:tc>
          <w:p>
            <w:r>
              <w:t xml:space="preserve">Pick list</w:t>
            </w:r>
          </w:p>
        </w:tc>
        <w:tc>
          <w:p>
            <w:r>
              <w:t xml:space="preserve">AM peak / Lunch / PM peak</w:t>
            </w:r>
          </w:p>
        </w:tc>
      </w:tr>
      <w:tr>
        <w:tc>
          <w:p>
            <w:r>
              <w:t xml:space="preserve">D</w:t>
            </w:r>
          </w:p>
        </w:tc>
        <w:tc>
          <w:p>
            <w:r>
              <w:t xml:space="preserve">Start time</w:t>
            </w:r>
          </w:p>
        </w:tc>
        <w:tc>
          <w:p>
            <w:r>
              <w:t xml:space="preserve">Time</w:t>
            </w:r>
          </w:p>
        </w:tc>
        <w:tc>
          <w:p>
            <w:r>
              <w:t xml:space="preserve">Within the defined window</w:t>
            </w:r>
          </w:p>
        </w:tc>
      </w:tr>
      <w:tr>
        <w:tc>
          <w:p>
            <w:r>
              <w:t xml:space="preserve">E</w:t>
            </w:r>
          </w:p>
        </w:tc>
        <w:tc>
          <w:p>
            <w:r>
              <w:t xml:space="preserve">End time</w:t>
            </w:r>
          </w:p>
        </w:tc>
        <w:tc>
          <w:p>
            <w:r>
              <w:t xml:space="preserve">Time</w:t>
            </w:r>
          </w:p>
        </w:tc>
        <w:tc>
          <w:p/>
        </w:tc>
      </w:tr>
      <w:tr>
        <w:tc>
          <w:p>
            <w:r>
              <w:t xml:space="preserve">F</w:t>
            </w:r>
          </w:p>
        </w:tc>
        <w:tc>
          <w:p>
            <w:r>
              <w:t xml:space="preserve">Unique passersby</w:t>
            </w:r>
          </w:p>
        </w:tc>
        <w:tc>
          <w:p>
            <w:r>
              <w:t xml:space="preserve">Integer</w:t>
            </w:r>
          </w:p>
        </w:tc>
        <w:tc>
          <w:p>
            <w:r>
              <w:t xml:space="preserve">People who walk past the zone</w:t>
            </w:r>
          </w:p>
        </w:tc>
      </w:tr>
      <w:tr>
        <w:tc>
          <w:p>
            <w:r>
              <w:t xml:space="preserve">G</w:t>
            </w:r>
          </w:p>
        </w:tc>
        <w:tc>
          <w:p>
            <w:r>
              <w:t xml:space="preserve">Interactors</w:t>
            </w:r>
          </w:p>
        </w:tc>
        <w:tc>
          <w:p>
            <w:r>
              <w:t xml:space="preserve">Integer</w:t>
            </w:r>
          </w:p>
        </w:tc>
        <w:tc>
          <w:p>
            <w:r>
              <w:t xml:space="preserve">People who stop, browse, or use any existing channel</w:t>
            </w:r>
          </w:p>
        </w:tc>
      </w:tr>
      <w:tr>
        <w:tc>
          <w:p>
            <w:r>
              <w:t xml:space="preserve">H</w:t>
            </w:r>
          </w:p>
        </w:tc>
        <w:tc>
          <w:p>
            <w:r>
              <w:t xml:space="preserve">Conversion rate</w:t>
            </w:r>
          </w:p>
        </w:tc>
        <w:tc>
          <w:p>
            <w:r>
              <w:t xml:space="preserve">Formula</w:t>
            </w:r>
          </w:p>
        </w:tc>
        <w:tc>
          <w:p>
            <w:r>
              <w:t xml:space="preserve">= G / F</w:t>
            </w:r>
          </w:p>
        </w:tc>
      </w:tr>
      <w:tr>
        <w:tc>
          <w:p>
            <w:r>
              <w:t xml:space="preserve">I</w:t>
            </w:r>
          </w:p>
        </w:tc>
        <w:tc>
          <w:p>
            <w:r>
              <w:t xml:space="preserve">Weather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Drives F&amp;B demand at outdoor + indoor venues</w:t>
            </w:r>
          </w:p>
        </w:tc>
      </w:tr>
      <w:tr>
        <w:tc>
          <w:p>
            <w:r>
              <w:t xml:space="preserve">J</w:t>
            </w:r>
          </w:p>
        </w:tc>
        <w:tc>
          <w:p>
            <w:r>
              <w:t xml:space="preserve">Notes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Event, holiday, special schedule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Daily data collection — Sheet 2: Stated intent</w:t>
      </w:r>
    </w:p>
    <w:p>
      <w:pPr>
        <w:spacing w:after="200"/>
      </w:pPr>
      <w:r>
        <w:t xml:space="preserve">Sample of 20-50 interactors per day asked 4 short questions. Drives planogram weighting and combo-vs-separate decision.</w:t>
      </w:r>
    </w:p>
    <w:p>
      <w:pPr>
        <w:spacing w:after="120"/>
      </w:pPr>
      <w:r>
        <w:rPr>
          <w:b/>
          <w:bCs/>
          <w:color w:val="111827"/>
        </w:rPr>
        <w:t xml:space="preserve">Q1 — Snack vs beverage intent: </w:t>
      </w:r>
      <w:r>
        <w:t xml:space="preserve">Would you buy a snack, a beverage, both, or neither during this visit? (Pick list)</w:t>
      </w:r>
    </w:p>
    <w:p>
      <w:pPr>
        <w:spacing w:after="120"/>
      </w:pPr>
      <w:r>
        <w:rPr>
          <w:b/>
          <w:bCs/>
          <w:color w:val="111827"/>
        </w:rPr>
        <w:t xml:space="preserve">Q2 — Category specifics: </w:t>
      </w:r>
      <w:r>
        <w:t xml:space="preserve">If snack: chip / bar / nut / candy / fresh / other. If beverage: water / sparkling / soda / coffee / energy / juice / other. (Multi-select)</w:t>
      </w:r>
    </w:p>
    <w:p>
      <w:pPr>
        <w:spacing w:after="120"/>
      </w:pPr>
      <w:r>
        <w:rPr>
          <w:b/>
          <w:bCs/>
          <w:color w:val="111827"/>
        </w:rPr>
        <w:t xml:space="preserve">Q3 — Price tolerance: </w:t>
      </w:r>
      <w:r>
        <w:t xml:space="preserve">What would you expect to pay for [chosen item]? ($ open-end; or pick list $1-$2 / $2-$3 / $3-$4 / $4-$5 / $5+)</w:t>
      </w:r>
    </w:p>
    <w:p>
      <w:pPr>
        <w:spacing w:after="120"/>
      </w:pPr>
      <w:r>
        <w:rPr>
          <w:b/>
          <w:bCs/>
          <w:color w:val="111827"/>
        </w:rPr>
        <w:t xml:space="preserve">Q4 — Cashless preference: </w:t>
      </w:r>
      <w:r>
        <w:t xml:space="preserve">How would you pay? (Cash / card / mobile wallet / app / badge)</w:t>
      </w:r>
    </w:p>
    <w:p>
      <w:pPr>
        <w:pStyle w:val="Heading1"/>
        <w:spacing w:after="150" w:before="300"/>
      </w:pPr>
      <w:r>
        <w:t xml:space="preserve">4. Daily data collection — Sheet 3: Adjacent channel pull</w:t>
      </w:r>
    </w:p>
    <w:p>
      <w:pPr>
        <w:spacing w:after="200"/>
      </w:pPr>
      <w:r>
        <w:t xml:space="preserve">Foot-traffic and interactor numbers without context misstate vending demand. Track the adjacent channel pull every day in the same windows.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Cafeteria peak basket count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On-site café cup count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Off-site retail trip count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p>
            <w:r>
              <w:t xml:space="preserve">Day 1 (Mon)</w:t>
            </w:r>
          </w:p>
        </w:tc>
        <w:tc>
          <w:p>
            <w:r>
              <w:t xml:space="preserve">Captured from cafeteria POS or visual count</w:t>
            </w:r>
          </w:p>
        </w:tc>
        <w:tc>
          <w:p>
            <w:r>
              <w:t xml:space="preserve">From café POS or visual count</w:t>
            </w:r>
          </w:p>
        </w:tc>
        <w:tc>
          <w:p>
            <w:r>
              <w:t xml:space="preserve">Self-report sample at exit</w:t>
            </w:r>
          </w:p>
        </w:tc>
        <w:tc>
          <w:p>
            <w:r>
              <w:t xml:space="preserve">Note any closures or special menus</w:t>
            </w:r>
          </w:p>
        </w:tc>
      </w:tr>
      <w:tr>
        <w:tc>
          <w:p>
            <w:r>
              <w:t xml:space="preserve">Day 2 (Tue)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…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r>
              <w:t xml:space="preserve">Day 14 (Sun)</w:t>
            </w:r>
          </w:p>
        </w:tc>
        <w:tc>
          <w:p/>
        </w:tc>
        <w:tc>
          <w:p/>
        </w:tc>
        <w:tc>
          <w:p/>
        </w:tc>
        <w:tc>
          <w:p/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Combo vs separate-unit decision logic</w:t>
      </w:r>
    </w:p>
    <w:p>
      <w:pPr>
        <w:spacing w:after="200"/>
      </w:pPr>
      <w:r>
        <w:t xml:space="preserve">Output of the 14-day study should support a combo vs separate-unit recommendation against the thresholds below.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Daily interactors (avg)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Snack:bev intent ratio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Recommendation</w:t>
            </w:r>
          </w:p>
        </w:tc>
      </w:tr>
      <w:tr>
        <w:tc>
          <w:p>
            <w:r>
              <w:t xml:space="preserve">&lt; 40</w:t>
            </w:r>
          </w:p>
        </w:tc>
        <w:tc>
          <w:p>
            <w:r>
              <w:t xml:space="preserve">Any</w:t>
            </w:r>
          </w:p>
        </w:tc>
        <w:tc>
          <w:p>
            <w:r>
              <w:t xml:space="preserve">Single combo unit (snack + bev) — simplest fit</w:t>
            </w:r>
          </w:p>
        </w:tc>
      </w:tr>
      <w:tr>
        <w:tc>
          <w:p>
            <w:r>
              <w:t xml:space="preserve">40-100</w:t>
            </w:r>
          </w:p>
        </w:tc>
        <w:tc>
          <w:p>
            <w:r>
              <w:t xml:space="preserve">Roughly balanced (40-60% : 40-60%)</w:t>
            </w:r>
          </w:p>
        </w:tc>
        <w:tc>
          <w:p>
            <w:r>
              <w:t xml:space="preserve">Single combo unit</w:t>
            </w:r>
          </w:p>
        </w:tc>
      </w:tr>
      <w:tr>
        <w:tc>
          <w:p>
            <w:r>
              <w:t xml:space="preserve">40-100</w:t>
            </w:r>
          </w:p>
        </w:tc>
        <w:tc>
          <w:p>
            <w:r>
              <w:t xml:space="preserve">Skewed &gt; 70% to one category</w:t>
            </w:r>
          </w:p>
        </w:tc>
        <w:tc>
          <w:p>
            <w:r>
              <w:t xml:space="preserve">Separate dominant-category unit + small adjacent unit</w:t>
            </w:r>
          </w:p>
        </w:tc>
      </w:tr>
      <w:tr>
        <w:tc>
          <w:p>
            <w:r>
              <w:t xml:space="preserve">100-200</w:t>
            </w:r>
          </w:p>
        </w:tc>
        <w:tc>
          <w:p>
            <w:r>
              <w:t xml:space="preserve">Any</w:t>
            </w:r>
          </w:p>
        </w:tc>
        <w:tc>
          <w:p>
            <w:r>
              <w:t xml:space="preserve">Combo plus dedicated beverage merchandiser</w:t>
            </w:r>
          </w:p>
        </w:tc>
      </w:tr>
      <w:tr>
        <w:tc>
          <w:p>
            <w:r>
              <w:t xml:space="preserve">&gt; 200</w:t>
            </w:r>
          </w:p>
        </w:tc>
        <w:tc>
          <w:p>
            <w:r>
              <w:t xml:space="preserve">Any</w:t>
            </w:r>
          </w:p>
        </w:tc>
        <w:tc>
          <w:p>
            <w:r>
              <w:t xml:space="preserve">Separate snack + beverage merchandisers + optional fresh refrigerator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Analysis + RFP outputs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Daily and per-window average traffic + interactor counts with 14-day variance.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Conversion rate over the window (target benchmark 5-15% of passersby become interactors in a healthy program area).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Snack-to-beverage intent ratio + category share within each.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Price-tolerance distribution by category.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Cashless-preference share (drives PCI scope, badge integration, app integration).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Adjacent-channel pull baseline (cafeteria + café + off-site retail).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Combo-vs-separate recommendation with sizing rationale.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Per-window peak demand to size restock cadence + telemetry alert thresholds.</w:t>
      </w:r>
    </w:p>
    <w:p>
      <w:pPr>
        <w:pStyle w:val="Heading1"/>
        <w:spacing w:after="150" w:before="300"/>
      </w:pPr>
      <w:r>
        <w:t xml:space="preserve">7. Operator capability checks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running the traffic study at no cost as part of the RFP / pre-install process.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using a NEMS-V-aligned or comparable methodology with documented inter-rater reliability if multiple counters.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telemetry calibration if using people-counting sensors (manual count vs sensor parity within 5% on day 1).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delivering the full report (sheets + analysis + recommendation) within 7 business days of study end.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no obligation by host to award contract based on the study — study is informational.</w:t>
      </w:r>
    </w:p>
    <w:p>
      <w:pPr>
        <w:spacing w:before="400"/>
      </w:pPr>
      <w:r>
        <w:rPr>
          <w:i/>
          <w:iCs/>
          <w:color w:val="6B7280"/>
        </w:rPr>
        <w:t xml:space="preserve">This template is informational and not statistical-survey advice. A 14-day window captures normal variance but may not capture seasonal extremes or one-off events. Re-run after major workforce changes or 12-18 months after install to validate planogram + cadence assumptions.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Two-Week Vending Traffic Study Template</dc:title>
  <dc:creator>LetUsVending</dc:creator>
  <dc:description>Pre-RFP traffic + intent measurement to size a combo vs separate-unit decision</dc:description>
  <cp:lastModifiedBy>Un-named</cp:lastModifiedBy>
  <cp:revision>1</cp:revision>
  <dcterms:created xsi:type="dcterms:W3CDTF">2026-05-17T13:18:14.311Z</dcterms:created>
  <dcterms:modified xsi:type="dcterms:W3CDTF">2026-05-17T13:18:14.312Z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